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附件</w:t>
      </w:r>
      <w:r>
        <w:rPr>
          <w:rStyle w:val="9"/>
          <w:rFonts w:hint="eastAsia" w:ascii="仿宋_GB2312" w:hAnsi="仿宋_GB2312" w:eastAsia="仿宋_GB2312" w:cs="仿宋_GB2312"/>
          <w:color w:val="000000"/>
          <w:sz w:val="32"/>
          <w:szCs w:val="32"/>
          <w:lang w:val="en-US" w:eastAsia="zh-CN"/>
        </w:rPr>
        <w:t>6</w:t>
      </w:r>
      <w:r>
        <w:rPr>
          <w:rStyle w:val="9"/>
          <w:rFonts w:hint="eastAsia" w:ascii="仿宋_GB2312" w:hAnsi="仿宋_GB2312" w:eastAsia="仿宋_GB2312" w:cs="仿宋_GB2312"/>
          <w:color w:val="000000"/>
          <w:sz w:val="32"/>
          <w:szCs w:val="32"/>
        </w:rPr>
        <w:t>：</w:t>
      </w:r>
    </w:p>
    <w:p>
      <w:pPr>
        <w:jc w:val="center"/>
        <w:rPr>
          <w:b/>
          <w:sz w:val="44"/>
          <w:szCs w:val="44"/>
        </w:rPr>
      </w:pPr>
      <w:r>
        <w:rPr>
          <w:rFonts w:hint="eastAsia"/>
          <w:b/>
          <w:sz w:val="44"/>
          <w:szCs w:val="44"/>
        </w:rPr>
        <w:t>青岛市城阳区人才共有产权住房明白纸</w:t>
      </w:r>
    </w:p>
    <w:p>
      <w:pPr>
        <w:pStyle w:val="8"/>
        <w:ind w:firstLineChars="0"/>
      </w:pPr>
    </w:p>
    <w:p>
      <w:pPr>
        <w:pStyle w:val="8"/>
        <w:ind w:left="640" w:firstLine="0" w:firstLineChars="0"/>
        <w:rPr>
          <w:rFonts w:ascii="黑体" w:hAnsi="黑体" w:eastAsia="黑体"/>
          <w:sz w:val="32"/>
          <w:szCs w:val="32"/>
        </w:rPr>
      </w:pPr>
      <w:r>
        <w:rPr>
          <w:rFonts w:hint="eastAsia" w:ascii="黑体" w:hAnsi="黑体" w:eastAsia="黑体"/>
          <w:sz w:val="32"/>
          <w:szCs w:val="32"/>
        </w:rPr>
        <w:t>一、人才及符合购房条件的范围</w:t>
      </w:r>
    </w:p>
    <w:p>
      <w:pPr>
        <w:pStyle w:val="8"/>
        <w:ind w:firstLine="640"/>
        <w:rPr>
          <w:rFonts w:ascii="楷体_GB2312" w:hAnsi="仿宋" w:eastAsia="楷体_GB2312"/>
          <w:sz w:val="32"/>
          <w:szCs w:val="32"/>
        </w:rPr>
      </w:pPr>
      <w:r>
        <w:rPr>
          <w:rFonts w:hint="eastAsia" w:ascii="楷体_GB2312" w:hAnsi="仿宋" w:eastAsia="楷体_GB2312"/>
          <w:sz w:val="32"/>
          <w:szCs w:val="32"/>
        </w:rPr>
        <w:t>（一）为什</w:t>
      </w:r>
      <w:bookmarkStart w:id="0" w:name="_GoBack"/>
      <w:bookmarkEnd w:id="0"/>
      <w:r>
        <w:rPr>
          <w:rFonts w:hint="eastAsia" w:ascii="楷体_GB2312" w:hAnsi="仿宋" w:eastAsia="楷体_GB2312"/>
          <w:sz w:val="32"/>
          <w:szCs w:val="32"/>
        </w:rPr>
        <w:t>么要实施人才共有产权住房？</w:t>
      </w:r>
    </w:p>
    <w:p>
      <w:pPr>
        <w:pStyle w:val="8"/>
        <w:ind w:firstLine="640"/>
        <w:rPr>
          <w:rFonts w:ascii="仿宋_GB2312" w:hAnsi="仿宋" w:eastAsia="仿宋_GB2312"/>
          <w:sz w:val="32"/>
          <w:szCs w:val="32"/>
        </w:rPr>
      </w:pPr>
      <w:r>
        <w:rPr>
          <w:rFonts w:hint="eastAsia" w:ascii="仿宋_GB2312" w:hAnsi="仿宋" w:eastAsia="仿宋_GB2312"/>
          <w:sz w:val="32"/>
          <w:szCs w:val="32"/>
        </w:rPr>
        <w:t>创新是引领发展的第一动力，人才是创新的第一资源，目前，城阳区持续优化人才生活居住环境，全力打造有利于人才充分发挥自身价值的发展平台，教育、医疗等公共服务配套不断优化提升。为吸引人才、留住人才、用好人才，消除人才在住房方面的后顾之忧，人才可申请购买共有产权住房，即符合条件的人才个人和区属国有企业按照相应比例共同购买共同持有产权的住房。</w:t>
      </w:r>
    </w:p>
    <w:p>
      <w:pPr>
        <w:pStyle w:val="8"/>
        <w:ind w:firstLine="640"/>
        <w:rPr>
          <w:rFonts w:ascii="楷体_GB2312" w:hAnsi="仿宋" w:eastAsia="楷体_GB2312"/>
          <w:sz w:val="32"/>
          <w:szCs w:val="32"/>
        </w:rPr>
      </w:pPr>
      <w:r>
        <w:rPr>
          <w:rFonts w:hint="eastAsia" w:ascii="楷体_GB2312" w:hAnsi="仿宋" w:eastAsia="楷体_GB2312"/>
          <w:sz w:val="32"/>
          <w:szCs w:val="32"/>
        </w:rPr>
        <w:t>（二）可以申请人才共有产权住房的人才是哪些范围？</w:t>
      </w:r>
    </w:p>
    <w:p>
      <w:pPr>
        <w:pStyle w:val="8"/>
        <w:ind w:firstLine="640"/>
        <w:rPr>
          <w:rFonts w:ascii="仿宋_GB2312" w:hAnsi="仿宋" w:eastAsia="仿宋_GB2312"/>
          <w:sz w:val="32"/>
          <w:szCs w:val="32"/>
        </w:rPr>
      </w:pPr>
      <w:r>
        <w:rPr>
          <w:rFonts w:hint="eastAsia" w:ascii="仿宋_GB2312" w:hAnsi="仿宋" w:eastAsia="仿宋_GB2312"/>
          <w:sz w:val="32"/>
          <w:szCs w:val="32"/>
        </w:rPr>
        <w:t>在城阳区工作且社保缴纳地为城阳区，满足青岛市人才类别规定的七类人才（详见附件）。符合以上条件的，在注册地为城阳的个体工商业户工作的人才和自由职业人才均涵盖在范围内。</w:t>
      </w:r>
    </w:p>
    <w:p>
      <w:pPr>
        <w:pStyle w:val="8"/>
        <w:ind w:firstLine="640"/>
        <w:rPr>
          <w:rFonts w:ascii="仿宋_GB2312" w:hAnsi="仿宋" w:eastAsia="仿宋_GB2312"/>
          <w:sz w:val="32"/>
          <w:szCs w:val="32"/>
        </w:rPr>
      </w:pPr>
      <w:r>
        <w:rPr>
          <w:rFonts w:hint="eastAsia" w:ascii="仿宋_GB2312" w:hAnsi="仿宋" w:eastAsia="仿宋_GB2312"/>
          <w:sz w:val="32"/>
          <w:szCs w:val="32"/>
        </w:rPr>
        <w:t>其中，人才对应最高学历（含非全日制）享受相应层次政策；全日制硕士（全脱产学习）可享受第四层次对应政策；夫妻双方均为第四层次及以上人才的，可享受夫妻双方中最高层次人才上一层次对应政策。</w:t>
      </w:r>
    </w:p>
    <w:p>
      <w:pPr>
        <w:pStyle w:val="8"/>
        <w:ind w:firstLine="640"/>
        <w:rPr>
          <w:rFonts w:ascii="楷体_GB2312" w:hAnsi="仿宋" w:eastAsia="楷体_GB2312"/>
          <w:sz w:val="32"/>
          <w:szCs w:val="32"/>
        </w:rPr>
      </w:pPr>
      <w:r>
        <w:rPr>
          <w:rFonts w:hint="eastAsia" w:ascii="楷体_GB2312" w:hAnsi="仿宋" w:eastAsia="楷体_GB2312"/>
          <w:sz w:val="32"/>
          <w:szCs w:val="32"/>
        </w:rPr>
        <w:t>（三）申请购买人才共有产权住房是否受青岛市住房限购政策限制？</w:t>
      </w:r>
    </w:p>
    <w:p>
      <w:pPr>
        <w:pStyle w:val="8"/>
        <w:ind w:firstLine="640"/>
        <w:rPr>
          <w:rFonts w:ascii="仿宋_GB2312" w:hAnsi="仿宋" w:eastAsia="仿宋_GB2312"/>
          <w:sz w:val="32"/>
          <w:szCs w:val="32"/>
        </w:rPr>
      </w:pPr>
      <w:r>
        <w:rPr>
          <w:rFonts w:hint="eastAsia" w:ascii="仿宋_GB2312" w:hAnsi="仿宋" w:eastAsia="仿宋_GB2312"/>
          <w:sz w:val="32"/>
          <w:szCs w:val="32"/>
        </w:rPr>
        <w:t>是。坚持符合国家统一政策的原则，申请购买人才共有产权住房必须符合青岛市住房限购政策。</w:t>
      </w:r>
    </w:p>
    <w:p>
      <w:pPr>
        <w:pStyle w:val="8"/>
        <w:ind w:firstLine="640"/>
        <w:rPr>
          <w:rFonts w:ascii="黑体" w:hAnsi="黑体" w:eastAsia="黑体"/>
          <w:sz w:val="32"/>
          <w:szCs w:val="32"/>
        </w:rPr>
      </w:pPr>
      <w:r>
        <w:rPr>
          <w:rFonts w:hint="eastAsia" w:ascii="黑体" w:hAnsi="黑体" w:eastAsia="黑体"/>
          <w:sz w:val="32"/>
          <w:szCs w:val="32"/>
        </w:rPr>
        <w:t>二、共有产权住房的产权比例及回购</w:t>
      </w:r>
    </w:p>
    <w:p>
      <w:pPr>
        <w:pStyle w:val="8"/>
        <w:ind w:firstLine="640"/>
        <w:rPr>
          <w:rFonts w:ascii="楷体_GB2312" w:hAnsi="仿宋" w:eastAsia="楷体_GB2312"/>
          <w:sz w:val="32"/>
          <w:szCs w:val="32"/>
        </w:rPr>
      </w:pPr>
      <w:r>
        <w:rPr>
          <w:rFonts w:hint="eastAsia" w:ascii="楷体_GB2312" w:hAnsi="仿宋" w:eastAsia="楷体_GB2312"/>
          <w:sz w:val="32"/>
          <w:szCs w:val="32"/>
        </w:rPr>
        <w:t>（四）共有产权住房的产权比例是如何划分的？</w:t>
      </w:r>
    </w:p>
    <w:p>
      <w:pPr>
        <w:pStyle w:val="8"/>
        <w:ind w:firstLine="640"/>
        <w:rPr>
          <w:rFonts w:ascii="仿宋_GB2312" w:hAnsi="仿宋" w:eastAsia="仿宋_GB2312"/>
          <w:sz w:val="32"/>
          <w:szCs w:val="32"/>
        </w:rPr>
      </w:pPr>
      <w:r>
        <w:rPr>
          <w:rFonts w:hint="eastAsia" w:ascii="仿宋_GB2312" w:hAnsi="仿宋" w:eastAsia="仿宋_GB2312"/>
          <w:sz w:val="32"/>
          <w:szCs w:val="32"/>
        </w:rPr>
        <w:t>1.属于一至四层次的人才（详见附件，下同）,本人与区属国企的产权比例为7：3，共有期限为8年；</w:t>
      </w:r>
    </w:p>
    <w:p>
      <w:pPr>
        <w:pStyle w:val="8"/>
        <w:ind w:firstLine="640"/>
        <w:rPr>
          <w:rFonts w:ascii="仿宋_GB2312" w:hAnsi="仿宋" w:eastAsia="仿宋_GB2312"/>
          <w:sz w:val="32"/>
          <w:szCs w:val="32"/>
        </w:rPr>
      </w:pPr>
      <w:r>
        <w:rPr>
          <w:rFonts w:hint="eastAsia" w:ascii="仿宋_GB2312" w:hAnsi="仿宋" w:eastAsia="仿宋_GB2312"/>
          <w:sz w:val="32"/>
          <w:szCs w:val="32"/>
        </w:rPr>
        <w:t>2.对于五至七层次人才购置人才共有产权住房的，本人与区属国企的产权比例为7:3，共有期限为5年。之前五至七层次人才按照8:2共有产权比例，已经购置人才共有产权住房并办理完网签等有关手续的，根据区属国企统一要求办理产权比例调整手续。</w:t>
      </w:r>
    </w:p>
    <w:p>
      <w:pPr>
        <w:pStyle w:val="8"/>
        <w:ind w:firstLine="736" w:firstLineChars="230"/>
        <w:rPr>
          <w:rFonts w:ascii="楷体_GB2312" w:hAnsi="仿宋" w:eastAsia="楷体_GB2312"/>
          <w:sz w:val="32"/>
          <w:szCs w:val="32"/>
        </w:rPr>
      </w:pPr>
      <w:r>
        <w:rPr>
          <w:rFonts w:hint="eastAsia" w:ascii="楷体_GB2312" w:hAnsi="仿宋" w:eastAsia="楷体_GB2312"/>
          <w:sz w:val="32"/>
          <w:szCs w:val="32"/>
        </w:rPr>
        <w:t>（五）共有产权到期后，如何进行回购？</w:t>
      </w:r>
    </w:p>
    <w:p>
      <w:pPr>
        <w:pStyle w:val="8"/>
        <w:ind w:firstLine="640"/>
        <w:rPr>
          <w:rFonts w:ascii="仿宋_GB2312" w:hAnsi="仿宋" w:eastAsia="仿宋_GB2312"/>
          <w:sz w:val="32"/>
          <w:szCs w:val="32"/>
        </w:rPr>
      </w:pPr>
      <w:r>
        <w:rPr>
          <w:rFonts w:hint="eastAsia" w:ascii="仿宋_GB2312" w:hAnsi="仿宋" w:eastAsia="仿宋_GB2312"/>
          <w:sz w:val="32"/>
          <w:szCs w:val="32"/>
        </w:rPr>
        <w:t>属于一至四层次的人才，在城阳区范围内工作并享受共有产权政策满8年后，由人才个人提出申请，经区属国企同意，并由相关部门批准后，无偿赠送30%产权；</w:t>
      </w:r>
    </w:p>
    <w:p>
      <w:pPr>
        <w:pStyle w:val="8"/>
        <w:ind w:firstLine="640"/>
        <w:rPr>
          <w:rFonts w:ascii="仿宋_GB2312" w:hAnsi="仿宋" w:eastAsia="仿宋_GB2312"/>
          <w:sz w:val="32"/>
          <w:szCs w:val="32"/>
        </w:rPr>
      </w:pPr>
      <w:r>
        <w:rPr>
          <w:rFonts w:hint="eastAsia" w:ascii="仿宋_GB2312" w:hAnsi="仿宋" w:eastAsia="仿宋_GB2312"/>
          <w:sz w:val="32"/>
          <w:szCs w:val="32"/>
        </w:rPr>
        <w:t>属于五至七层次的人才，自办理完购房网签之日起满5年后，由个人将区属国有企业持有的30%产权回购，回购价格按照 “孰低”原则，即5年后市场价高于原购房价的，人才按原购房价回购；5年后市场价低于原购房价的，人才按5年后市场价回购。</w:t>
      </w:r>
    </w:p>
    <w:p>
      <w:pPr>
        <w:pStyle w:val="8"/>
        <w:ind w:firstLine="640"/>
        <w:rPr>
          <w:rFonts w:ascii="仿宋_GB2312" w:hAnsi="仿宋" w:eastAsia="仿宋_GB2312"/>
          <w:sz w:val="32"/>
          <w:szCs w:val="32"/>
        </w:rPr>
      </w:pPr>
      <w:r>
        <w:rPr>
          <w:rFonts w:hint="eastAsia" w:ascii="仿宋_GB2312" w:hAnsi="仿宋" w:eastAsia="仿宋_GB2312"/>
          <w:sz w:val="32"/>
          <w:szCs w:val="32"/>
        </w:rPr>
        <w:t>人才可提前回购。满3年不足5年的，如个人提出回购申请，经用人单位、区属国企研究后，可按“一事一议”原则给予办理。</w:t>
      </w:r>
    </w:p>
    <w:p>
      <w:pPr>
        <w:pStyle w:val="8"/>
        <w:ind w:firstLine="640"/>
        <w:rPr>
          <w:rFonts w:ascii="黑体" w:hAnsi="黑体" w:eastAsia="黑体"/>
          <w:sz w:val="32"/>
          <w:szCs w:val="32"/>
        </w:rPr>
      </w:pPr>
      <w:r>
        <w:rPr>
          <w:rFonts w:hint="eastAsia" w:ascii="黑体" w:hAnsi="黑体" w:eastAsia="黑体"/>
          <w:sz w:val="32"/>
          <w:szCs w:val="32"/>
        </w:rPr>
        <w:t>三、人才共有产权住房房源、价格、面积及税费</w:t>
      </w:r>
    </w:p>
    <w:p>
      <w:pPr>
        <w:pStyle w:val="8"/>
        <w:ind w:firstLine="640"/>
        <w:rPr>
          <w:rFonts w:ascii="楷体_GB2312" w:hAnsi="仿宋" w:eastAsia="楷体_GB2312"/>
          <w:sz w:val="32"/>
          <w:szCs w:val="32"/>
        </w:rPr>
      </w:pPr>
      <w:r>
        <w:rPr>
          <w:rFonts w:hint="eastAsia" w:ascii="楷体_GB2312" w:hAnsi="仿宋" w:eastAsia="楷体_GB2312"/>
          <w:sz w:val="32"/>
          <w:szCs w:val="32"/>
        </w:rPr>
        <w:t>（六）人才共有产权住房房源、价格如何确定？</w:t>
      </w:r>
    </w:p>
    <w:p>
      <w:pPr>
        <w:pStyle w:val="8"/>
        <w:ind w:firstLine="640"/>
        <w:rPr>
          <w:rFonts w:ascii="仿宋_GB2312" w:hAnsi="仿宋" w:eastAsia="仿宋_GB2312"/>
          <w:sz w:val="32"/>
          <w:szCs w:val="32"/>
        </w:rPr>
      </w:pPr>
      <w:r>
        <w:rPr>
          <w:rFonts w:hint="eastAsia" w:ascii="仿宋_GB2312" w:hAnsi="仿宋" w:eastAsia="仿宋_GB2312"/>
          <w:sz w:val="32"/>
          <w:szCs w:val="32"/>
        </w:rPr>
        <w:t>在限定期限内，人才根据公示的房源名单及确定的团购价格进行选择，购买价格原则上低于市场团购价格。</w:t>
      </w:r>
    </w:p>
    <w:p>
      <w:pPr>
        <w:pStyle w:val="8"/>
        <w:ind w:firstLine="640"/>
        <w:rPr>
          <w:rFonts w:ascii="楷体_GB2312" w:hAnsi="仿宋" w:eastAsia="楷体_GB2312"/>
          <w:sz w:val="32"/>
          <w:szCs w:val="32"/>
        </w:rPr>
      </w:pPr>
      <w:r>
        <w:rPr>
          <w:rFonts w:hint="eastAsia" w:ascii="楷体_GB2312" w:hAnsi="仿宋" w:eastAsia="楷体_GB2312"/>
          <w:sz w:val="32"/>
          <w:szCs w:val="32"/>
        </w:rPr>
        <w:t>（七）人才共有产权住房的房屋面积有何规定？</w:t>
      </w:r>
    </w:p>
    <w:p>
      <w:pPr>
        <w:pStyle w:val="8"/>
        <w:ind w:firstLine="640"/>
        <w:rPr>
          <w:rFonts w:ascii="仿宋_GB2312" w:hAnsi="仿宋" w:eastAsia="仿宋_GB2312"/>
          <w:sz w:val="32"/>
          <w:szCs w:val="32"/>
        </w:rPr>
      </w:pPr>
      <w:r>
        <w:rPr>
          <w:rFonts w:hint="eastAsia" w:ascii="仿宋_GB2312" w:hAnsi="仿宋" w:eastAsia="仿宋_GB2312"/>
          <w:sz w:val="32"/>
          <w:szCs w:val="32"/>
        </w:rPr>
        <w:t>第一层次人才不限面积；第二层次限制180平方米（含）以下；第三层次人才限制160平方米（含）以下；第四层次人才限制140平方米（含）以下；第五、六、七层次限制120平方米（含）以下。</w:t>
      </w:r>
    </w:p>
    <w:p>
      <w:pPr>
        <w:pStyle w:val="8"/>
        <w:ind w:firstLine="640"/>
        <w:rPr>
          <w:rFonts w:ascii="仿宋_GB2312" w:hAnsi="仿宋" w:eastAsia="仿宋_GB2312"/>
          <w:sz w:val="32"/>
          <w:szCs w:val="32"/>
        </w:rPr>
      </w:pPr>
      <w:r>
        <w:rPr>
          <w:rFonts w:hint="eastAsia" w:ascii="仿宋_GB2312" w:hAnsi="仿宋" w:eastAsia="仿宋_GB2312"/>
          <w:sz w:val="32"/>
          <w:szCs w:val="32"/>
        </w:rPr>
        <w:t>对超过应享受政策面积以上部分，价款由个人负担。</w:t>
      </w:r>
    </w:p>
    <w:p>
      <w:pPr>
        <w:pStyle w:val="8"/>
        <w:ind w:firstLine="640"/>
        <w:rPr>
          <w:rFonts w:ascii="楷体_GB2312" w:hAnsi="仿宋" w:eastAsia="楷体_GB2312"/>
          <w:sz w:val="32"/>
          <w:szCs w:val="32"/>
        </w:rPr>
      </w:pPr>
      <w:r>
        <w:rPr>
          <w:rFonts w:hint="eastAsia" w:ascii="楷体_GB2312" w:hAnsi="仿宋" w:eastAsia="楷体_GB2312"/>
          <w:sz w:val="32"/>
          <w:szCs w:val="32"/>
        </w:rPr>
        <w:t>（八）对办理人才共有产权住房产权证书及持有过程中产生的所有相关税费如何承担？</w:t>
      </w:r>
    </w:p>
    <w:p>
      <w:pPr>
        <w:pStyle w:val="8"/>
        <w:ind w:firstLine="640"/>
        <w:rPr>
          <w:rFonts w:ascii="仿宋_GB2312" w:hAnsi="仿宋" w:eastAsia="仿宋_GB2312"/>
          <w:sz w:val="32"/>
          <w:szCs w:val="32"/>
        </w:rPr>
      </w:pPr>
      <w:r>
        <w:rPr>
          <w:rFonts w:hint="eastAsia" w:ascii="仿宋_GB2312" w:hAnsi="仿宋" w:eastAsia="仿宋_GB2312"/>
          <w:sz w:val="32"/>
          <w:szCs w:val="32"/>
        </w:rPr>
        <w:t>由共有产权人双方按照各自持有比例承担相应税费。</w:t>
      </w:r>
    </w:p>
    <w:p>
      <w:pPr>
        <w:pStyle w:val="8"/>
        <w:ind w:firstLine="576" w:firstLineChars="180"/>
        <w:rPr>
          <w:rFonts w:ascii="楷体_GB2312" w:hAnsi="仿宋" w:eastAsia="楷体_GB2312"/>
          <w:sz w:val="32"/>
          <w:szCs w:val="32"/>
        </w:rPr>
      </w:pPr>
      <w:r>
        <w:rPr>
          <w:rFonts w:hint="eastAsia" w:ascii="楷体_GB2312" w:hAnsi="仿宋" w:eastAsia="楷体_GB2312"/>
          <w:sz w:val="32"/>
          <w:szCs w:val="32"/>
        </w:rPr>
        <w:t>（九）人才共有产权住房的购房资金如何筹集？</w:t>
      </w:r>
    </w:p>
    <w:p>
      <w:pPr>
        <w:pStyle w:val="8"/>
        <w:ind w:firstLine="800" w:firstLineChars="250"/>
        <w:rPr>
          <w:rFonts w:ascii="仿宋_GB2312" w:hAnsi="仿宋" w:eastAsia="仿宋_GB2312"/>
          <w:sz w:val="32"/>
          <w:szCs w:val="32"/>
        </w:rPr>
      </w:pPr>
      <w:r>
        <w:rPr>
          <w:rFonts w:hint="eastAsia" w:ascii="仿宋_GB2312" w:hAnsi="仿宋" w:eastAsia="仿宋_GB2312"/>
          <w:sz w:val="32"/>
          <w:szCs w:val="32"/>
        </w:rPr>
        <w:t>1.按照产权比例，个人承担购房总价款的70%，享有70%的产权，自行筹集资金，人才个人需要缴纳持有70%房屋产权的首付款，并作为按揭贷款抵押物;区属国企承担购房总价款的30%，享有30%的产权，由其自有资金或其他资金解决,该产权部分不作为人才个人按揭贷款抵押物。</w:t>
      </w:r>
    </w:p>
    <w:p>
      <w:pPr>
        <w:pStyle w:val="8"/>
        <w:ind w:firstLine="800" w:firstLineChars="250"/>
        <w:rPr>
          <w:rFonts w:ascii="仿宋_GB2312" w:hAnsi="仿宋" w:eastAsia="仿宋_GB2312"/>
          <w:sz w:val="32"/>
          <w:szCs w:val="32"/>
        </w:rPr>
      </w:pPr>
      <w:r>
        <w:rPr>
          <w:rFonts w:hint="eastAsia" w:ascii="仿宋_GB2312" w:hAnsi="仿宋" w:eastAsia="仿宋_GB2312"/>
          <w:sz w:val="32"/>
          <w:szCs w:val="32"/>
        </w:rPr>
        <w:t>2.人才个人可办理商业银行个人住房贷款、公积金贷款或公积金与商业贷款组合贷款。贷款及抵押手续按照金融机构、公积金管理中心的规定执行。</w:t>
      </w:r>
    </w:p>
    <w:p>
      <w:pPr>
        <w:pStyle w:val="8"/>
        <w:ind w:firstLine="640"/>
        <w:rPr>
          <w:rFonts w:ascii="黑体" w:hAnsi="仿宋" w:eastAsia="黑体"/>
          <w:sz w:val="32"/>
          <w:szCs w:val="32"/>
        </w:rPr>
      </w:pPr>
      <w:r>
        <w:rPr>
          <w:rFonts w:hint="eastAsia" w:ascii="黑体" w:hAnsi="仿宋" w:eastAsia="黑体"/>
          <w:sz w:val="32"/>
          <w:szCs w:val="32"/>
        </w:rPr>
        <w:t>四、购房流程及资料准备</w:t>
      </w:r>
    </w:p>
    <w:p>
      <w:pPr>
        <w:pStyle w:val="8"/>
        <w:ind w:firstLine="640"/>
        <w:rPr>
          <w:rFonts w:ascii="楷体_GB2312" w:hAnsi="仿宋" w:eastAsia="楷体_GB2312"/>
          <w:sz w:val="32"/>
          <w:szCs w:val="32"/>
        </w:rPr>
      </w:pPr>
      <w:r>
        <w:rPr>
          <w:rFonts w:hint="eastAsia" w:ascii="楷体_GB2312" w:hAnsi="仿宋" w:eastAsia="楷体_GB2312"/>
          <w:sz w:val="32"/>
          <w:szCs w:val="32"/>
        </w:rPr>
        <w:t>（十）有购房意向且符合条件的人才如何申请人才共有产权住房？</w:t>
      </w:r>
    </w:p>
    <w:p>
      <w:pPr>
        <w:pStyle w:val="8"/>
        <w:ind w:firstLine="640"/>
        <w:rPr>
          <w:rFonts w:ascii="仿宋_GB2312" w:hAnsi="仿宋" w:eastAsia="仿宋_GB2312"/>
          <w:sz w:val="32"/>
          <w:szCs w:val="32"/>
        </w:rPr>
      </w:pPr>
      <w:r>
        <w:rPr>
          <w:rFonts w:hint="eastAsia" w:ascii="仿宋_GB2312" w:hAnsi="仿宋" w:eastAsia="仿宋_GB2312"/>
          <w:sz w:val="32"/>
          <w:szCs w:val="32"/>
        </w:rPr>
        <w:t>1.人才携带社保缴纳证明等材料自行到所属道办事处进行报名。由各街道办事处统一对接相关区属国企办理购房相关手续，人才所属单位无须与区属国企签订相关协议。</w:t>
      </w:r>
    </w:p>
    <w:p>
      <w:pPr>
        <w:pStyle w:val="8"/>
        <w:ind w:firstLine="640"/>
        <w:rPr>
          <w:rFonts w:ascii="仿宋_GB2312" w:hAnsi="仿宋" w:eastAsia="仿宋_GB2312"/>
          <w:sz w:val="32"/>
          <w:szCs w:val="32"/>
        </w:rPr>
      </w:pPr>
      <w:r>
        <w:rPr>
          <w:rFonts w:hint="eastAsia" w:ascii="仿宋_GB2312" w:hAnsi="仿宋" w:eastAsia="仿宋_GB2312"/>
          <w:sz w:val="32"/>
          <w:szCs w:val="32"/>
        </w:rPr>
        <w:t>2.人才进行资格认定需提供以下资料：</w:t>
      </w:r>
    </w:p>
    <w:p>
      <w:pPr>
        <w:spacing w:line="560" w:lineRule="exact"/>
        <w:ind w:firstLine="864" w:firstLineChars="270"/>
        <w:rPr>
          <w:rFonts w:ascii="仿宋_GB2312" w:hAnsi="仿宋" w:eastAsia="仿宋_GB2312"/>
          <w:sz w:val="32"/>
          <w:szCs w:val="32"/>
        </w:rPr>
      </w:pPr>
      <w:r>
        <w:rPr>
          <w:rFonts w:hint="eastAsia" w:ascii="仿宋_GB2312" w:hAnsi="仿宋" w:eastAsia="仿宋_GB2312"/>
          <w:sz w:val="32"/>
          <w:szCs w:val="32"/>
        </w:rPr>
        <w:t>人才类别资格认定：</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sz w:val="32"/>
          <w:szCs w:val="32"/>
        </w:rPr>
        <w:t>（1）共有产</w:t>
      </w:r>
      <w:r>
        <w:rPr>
          <w:rFonts w:hint="eastAsia" w:ascii="仿宋_GB2312" w:hAnsi="仿宋" w:eastAsia="仿宋_GB2312" w:cs="仿宋"/>
          <w:bCs/>
          <w:sz w:val="32"/>
          <w:szCs w:val="32"/>
        </w:rPr>
        <w:t>权住房申请书（签字、摁手印）；</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（2）身份证原件及复印件；</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（3）人才层次证明（以下提供任一项即可）。</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学历：毕业证原件及复印件，学信网“教育部学历证书电子注册备案表”；</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专业技术职称：职称证书原件及复印件，职称评审通过文件，聘任的需提供聘书（作为确认退休年龄依据）；</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职业资格：职业资格证书原件及复印件，网上查询结果截图。</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（4）户口簿原件及复印件（户口不在城阳的带“户口迁移承诺书”）或在城阳缴纳社保的证明材料。</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（5）劳动合同原件及复印件（机关事业单位可由单位统一出具在编情况说明），个人社保缴纳证明。</w:t>
      </w:r>
    </w:p>
    <w:p>
      <w:pPr>
        <w:spacing w:line="560" w:lineRule="exact"/>
        <w:ind w:firstLine="707" w:firstLineChars="221"/>
        <w:rPr>
          <w:rFonts w:ascii="仿宋_GB2312" w:hAnsi="仿宋" w:eastAsia="仿宋_GB2312" w:cs="仿宋"/>
          <w:bCs/>
          <w:sz w:val="32"/>
          <w:szCs w:val="32"/>
        </w:rPr>
      </w:pPr>
      <w:r>
        <w:rPr>
          <w:rFonts w:hint="eastAsia" w:ascii="仿宋_GB2312" w:hAnsi="仿宋" w:eastAsia="仿宋_GB2312" w:cs="仿宋"/>
          <w:bCs/>
          <w:sz w:val="32"/>
          <w:szCs w:val="32"/>
        </w:rPr>
        <w:t>（6）关于购置共有产权住房的承诺书（签字、摁手印）</w:t>
      </w:r>
    </w:p>
    <w:p>
      <w:pPr>
        <w:pStyle w:val="8"/>
        <w:ind w:firstLine="640"/>
        <w:rPr>
          <w:rFonts w:ascii="仿宋_GB2312" w:hAnsi="仿宋" w:eastAsia="仿宋_GB2312"/>
          <w:sz w:val="32"/>
          <w:szCs w:val="32"/>
        </w:rPr>
      </w:pPr>
      <w:r>
        <w:rPr>
          <w:rFonts w:hint="eastAsia" w:ascii="仿宋_GB2312" w:hAnsi="仿宋" w:eastAsia="仿宋_GB2312"/>
          <w:sz w:val="32"/>
          <w:szCs w:val="32"/>
        </w:rPr>
        <w:t>购房资格认定：家庭所有成员的身份证明、户口簿、婚姻证明、承诺书。</w:t>
      </w:r>
    </w:p>
    <w:p>
      <w:pPr>
        <w:pStyle w:val="8"/>
        <w:ind w:firstLine="640"/>
        <w:rPr>
          <w:rFonts w:ascii="黑体" w:hAnsi="仿宋" w:eastAsia="黑体"/>
          <w:sz w:val="32"/>
          <w:szCs w:val="32"/>
        </w:rPr>
      </w:pPr>
      <w:r>
        <w:rPr>
          <w:rFonts w:hint="eastAsia" w:ascii="黑体" w:hAnsi="仿宋" w:eastAsia="黑体"/>
          <w:sz w:val="32"/>
          <w:szCs w:val="32"/>
        </w:rPr>
        <w:t>五、其他事项</w:t>
      </w:r>
    </w:p>
    <w:p>
      <w:pPr>
        <w:pStyle w:val="8"/>
        <w:ind w:firstLine="640"/>
        <w:rPr>
          <w:rFonts w:ascii="楷体_GB2312" w:hAnsi="仿宋" w:eastAsia="楷体_GB2312"/>
          <w:sz w:val="32"/>
          <w:szCs w:val="32"/>
        </w:rPr>
      </w:pPr>
      <w:r>
        <w:rPr>
          <w:rFonts w:hint="eastAsia" w:ascii="楷体_GB2312" w:hAnsi="仿宋" w:eastAsia="楷体_GB2312"/>
          <w:sz w:val="32"/>
          <w:szCs w:val="32"/>
        </w:rPr>
        <w:t>（十一）临近退休人员可以享受政策吗？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1.人才距离退休年龄不满5年的，不享受人才共有产权住房政策；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人才距离退休年龄满5年，不满8年的，不享受一至四层次人才共有产权住房政策，可选择享受五至七层次人才相关政策（享受面积、产权比例及回购等所有政策同五至七层次人才完全相同）。对已选择享受五至七层次人才政策购置共有产权住房的一至四层次人才，愿意退休后继续为城阳区经济社会发展做贡献而工作的，可向区属国企提出书面申请，承诺本人退休后继续在城阳区工作且在城阳区年缴纳个人所得税5万元以上，可自网签之日起满5年后，暂不回购区属国企持有的产权。人才退休后的个人所得税缴纳情况，由相应的区属国企一年一审核，经审核通过的，报区人才共有产权住房政策领导小组办公室予以备案。自网签之日起，合并计算在职工作时间和退休后工作时间，累计满8年且每年均通过个人所得税纳税额审核的，由个人提出申请，经区属国企同意后，报区人才共有产权住房政策领导小组办公室审核通过后，由相应区属国企按照“孰低”原则向人才个人购买共有产权，补足至原人才层次相应补贴面积购房总价款的30%，并办理赠送手续。经审核不符合条件的，则取消享受一至四层次人才政策资格，人才对30%产权部分按照“孰低”原则回购。</w:t>
      </w:r>
    </w:p>
    <w:p>
      <w:pPr>
        <w:pStyle w:val="8"/>
        <w:ind w:firstLine="640"/>
        <w:rPr>
          <w:rFonts w:ascii="楷体_GB2312" w:hAnsi="仿宋" w:eastAsia="楷体_GB2312"/>
          <w:sz w:val="32"/>
          <w:szCs w:val="32"/>
        </w:rPr>
      </w:pPr>
      <w:r>
        <w:rPr>
          <w:rFonts w:hint="eastAsia" w:ascii="楷体_GB2312" w:hAnsi="仿宋" w:eastAsia="楷体_GB2312"/>
          <w:sz w:val="32"/>
          <w:szCs w:val="32"/>
        </w:rPr>
        <w:t>（十二）单位柔性引进高层次人才可以享受政策吗？</w:t>
      </w:r>
    </w:p>
    <w:p>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城阳区用人单位柔性引进一至四层次人才在城阳区从事创新研究，每年在城阳区工作生活时间累计满6个月且用人单位出具证明后，报区属国企备案，可享受城阳区人才共有产权住房政策。</w:t>
      </w:r>
    </w:p>
    <w:p>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引进柔性人才的单位范围为城阳区内大专院校、科研院所和重点骨干企业。由区人才工作领导小组组建评审专家团队对人才资格进行评审，评审通过后认定。</w:t>
      </w:r>
    </w:p>
    <w:p>
      <w:pPr>
        <w:pStyle w:val="8"/>
        <w:ind w:firstLine="640"/>
        <w:rPr>
          <w:rFonts w:ascii="楷体_GB2312" w:hAnsi="仿宋" w:eastAsia="楷体_GB2312"/>
          <w:sz w:val="32"/>
          <w:szCs w:val="32"/>
        </w:rPr>
      </w:pPr>
      <w:r>
        <w:rPr>
          <w:rFonts w:hint="eastAsia" w:ascii="楷体_GB2312" w:hAnsi="仿宋" w:eastAsia="楷体_GB2312"/>
          <w:sz w:val="32"/>
          <w:szCs w:val="32"/>
        </w:rPr>
        <w:t>（十三）我区的人才共有产权住房政策与青岛市人才住房政策的关系是怎样的？</w:t>
      </w:r>
    </w:p>
    <w:p>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人才共有产权住房政策是我区独立出台的政策，是独立于青岛市人才住房政策之外的政策，对于具有申请青岛市人才住房意愿的人才可以咨询区人社部门。</w:t>
      </w: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spacing w:line="600" w:lineRule="exact"/>
        <w:ind w:firstLine="320" w:firstLineChars="100"/>
        <w:rPr>
          <w:rFonts w:ascii="方正小标宋_GBK" w:hAnsi="方正小标宋_GBK" w:eastAsia="方正小标宋_GBK" w:cs="方正小标宋_GBK"/>
          <w:sz w:val="44"/>
          <w:szCs w:val="44"/>
        </w:rPr>
      </w:pPr>
      <w:r>
        <w:rPr>
          <w:rFonts w:hint="eastAsia" w:ascii="仿宋" w:hAnsi="仿宋" w:eastAsia="仿宋"/>
          <w:sz w:val="32"/>
          <w:szCs w:val="32"/>
        </w:rPr>
        <w:t xml:space="preserve">附件：             </w:t>
      </w:r>
      <w:r>
        <w:rPr>
          <w:rFonts w:hint="eastAsia" w:ascii="方正小标宋_GBK" w:hAnsi="方正小标宋_GBK" w:eastAsia="方正小标宋_GBK" w:cs="方正小标宋_GBK"/>
          <w:sz w:val="44"/>
          <w:szCs w:val="44"/>
        </w:rPr>
        <w:t>人才类别表</w:t>
      </w:r>
    </w:p>
    <w:p>
      <w:pPr>
        <w:spacing w:line="600" w:lineRule="exact"/>
        <w:ind w:firstLine="440" w:firstLineChars="100"/>
        <w:rPr>
          <w:rFonts w:ascii="方正小标宋_GBK" w:hAnsi="方正小标宋_GBK" w:eastAsia="方正小标宋_GBK" w:cs="方正小标宋_GBK"/>
          <w:sz w:val="44"/>
          <w:szCs w:val="44"/>
        </w:rPr>
      </w:pPr>
    </w:p>
    <w:tbl>
      <w:tblPr>
        <w:tblStyle w:val="4"/>
        <w:tblpPr w:leftFromText="180" w:rightFromText="180" w:vertAnchor="text" w:horzAnchor="page" w:tblpXSpec="center" w:tblpY="47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581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黑体"/>
                <w:sz w:val="30"/>
                <w:szCs w:val="30"/>
              </w:rPr>
            </w:pPr>
            <w:r>
              <w:rPr>
                <w:rFonts w:hint="eastAsia" w:eastAsia="黑体"/>
                <w:sz w:val="30"/>
                <w:szCs w:val="30"/>
              </w:rPr>
              <w:t>人才层次</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eastAsia="黑体"/>
                <w:sz w:val="30"/>
                <w:szCs w:val="30"/>
              </w:rPr>
            </w:pPr>
            <w:r>
              <w:rPr>
                <w:rFonts w:hint="eastAsia" w:eastAsia="黑体"/>
                <w:sz w:val="30"/>
                <w:szCs w:val="30"/>
              </w:rPr>
              <w:t>人才类别</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eastAsia="黑体"/>
                <w:sz w:val="30"/>
                <w:szCs w:val="30"/>
              </w:rPr>
            </w:pPr>
            <w:r>
              <w:rPr>
                <w:rFonts w:hint="eastAsia" w:eastAsia="黑体"/>
                <w:sz w:val="30"/>
                <w:szCs w:val="30"/>
              </w:rPr>
              <w:t>享受面积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hint="eastAsia"/>
                <w:sz w:val="24"/>
                <w:szCs w:val="32"/>
              </w:rPr>
              <w:t>第一层次</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sz w:val="24"/>
                <w:szCs w:val="32"/>
              </w:rPr>
            </w:pPr>
            <w:r>
              <w:rPr>
                <w:rFonts w:hint="eastAsia"/>
                <w:sz w:val="24"/>
                <w:szCs w:val="32"/>
              </w:rPr>
              <w:t>中国科学院院士和中国工程院院士；其他相应层次人员。</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hint="eastAsia"/>
                <w:sz w:val="24"/>
                <w:szCs w:val="32"/>
              </w:rPr>
              <w:t>不限面积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hint="eastAsia"/>
                <w:sz w:val="24"/>
                <w:szCs w:val="32"/>
              </w:rPr>
              <w:t>第二层次</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rPr>
                <w:sz w:val="24"/>
                <w:szCs w:val="32"/>
              </w:rPr>
            </w:pPr>
            <w:r>
              <w:rPr>
                <w:rFonts w:hint="eastAsia"/>
                <w:sz w:val="24"/>
                <w:szCs w:val="32"/>
              </w:rPr>
              <w:t>国家有突出贡献的中青年专家</w:t>
            </w:r>
            <w:r>
              <w:rPr>
                <w:sz w:val="24"/>
                <w:szCs w:val="32"/>
              </w:rPr>
              <w:t>;</w:t>
            </w:r>
            <w:r>
              <w:rPr>
                <w:rFonts w:hint="eastAsia"/>
                <w:sz w:val="24"/>
                <w:szCs w:val="32"/>
              </w:rPr>
              <w:t>长江学者</w:t>
            </w:r>
            <w:r>
              <w:rPr>
                <w:sz w:val="24"/>
                <w:szCs w:val="32"/>
              </w:rPr>
              <w:t>;</w:t>
            </w:r>
            <w:r>
              <w:rPr>
                <w:rFonts w:hint="eastAsia"/>
                <w:sz w:val="24"/>
                <w:szCs w:val="32"/>
              </w:rPr>
              <w:t>中国科学院百人计划人选</w:t>
            </w:r>
            <w:r>
              <w:rPr>
                <w:sz w:val="24"/>
                <w:szCs w:val="32"/>
              </w:rPr>
              <w:t>;</w:t>
            </w:r>
            <w:r>
              <w:rPr>
                <w:rFonts w:hint="eastAsia"/>
                <w:sz w:val="24"/>
                <w:szCs w:val="32"/>
              </w:rPr>
              <w:t>国家特聘专家、国家特支计划人选；科技部重大计划项目主要负责人；新世纪百千万人才工程国家级人选</w:t>
            </w:r>
            <w:r>
              <w:rPr>
                <w:sz w:val="24"/>
                <w:szCs w:val="32"/>
              </w:rPr>
              <w:t>;</w:t>
            </w:r>
            <w:r>
              <w:rPr>
                <w:rFonts w:hint="eastAsia"/>
                <w:sz w:val="24"/>
                <w:szCs w:val="32"/>
              </w:rPr>
              <w:t>国家杰出青年科学基金获得者</w:t>
            </w:r>
            <w:r>
              <w:rPr>
                <w:sz w:val="24"/>
                <w:szCs w:val="32"/>
              </w:rPr>
              <w:t>;</w:t>
            </w:r>
            <w:r>
              <w:rPr>
                <w:rFonts w:hint="eastAsia"/>
                <w:sz w:val="24"/>
                <w:szCs w:val="32"/>
              </w:rPr>
              <w:t>国家级教学名师</w:t>
            </w:r>
            <w:r>
              <w:rPr>
                <w:sz w:val="24"/>
                <w:szCs w:val="32"/>
              </w:rPr>
              <w:t>;</w:t>
            </w:r>
            <w:r>
              <w:rPr>
                <w:rFonts w:hint="eastAsia"/>
                <w:sz w:val="24"/>
                <w:szCs w:val="32"/>
              </w:rPr>
              <w:t>获国家自然科学奖、国家技术发明奖、国家科学技术进步奖一二等奖的前</w:t>
            </w:r>
            <w:r>
              <w:rPr>
                <w:rFonts w:ascii="Times New Roman" w:hAnsi="Times New Roman"/>
                <w:sz w:val="24"/>
                <w:szCs w:val="32"/>
              </w:rPr>
              <w:t>3</w:t>
            </w:r>
            <w:r>
              <w:rPr>
                <w:rFonts w:hint="eastAsia"/>
                <w:sz w:val="24"/>
                <w:szCs w:val="32"/>
              </w:rPr>
              <w:t>位完成人</w:t>
            </w:r>
            <w:r>
              <w:rPr>
                <w:sz w:val="24"/>
                <w:szCs w:val="32"/>
              </w:rPr>
              <w:t>;</w:t>
            </w:r>
            <w:r>
              <w:rPr>
                <w:rFonts w:hint="eastAsia"/>
                <w:sz w:val="24"/>
                <w:szCs w:val="32"/>
              </w:rPr>
              <w:t>入选国家创新人才推进计划的高层次人才；享誉国内外的经济学家、大师级文化艺术名家和知名人士</w:t>
            </w:r>
            <w:r>
              <w:rPr>
                <w:sz w:val="24"/>
                <w:szCs w:val="32"/>
              </w:rPr>
              <w:t xml:space="preserve">; </w:t>
            </w:r>
            <w:r>
              <w:rPr>
                <w:rFonts w:hint="eastAsia"/>
                <w:sz w:val="24"/>
                <w:szCs w:val="32"/>
              </w:rPr>
              <w:t>国际产业技术体系首席科学家；其他相应层次人员。</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ascii="Times New Roman" w:hAnsi="Times New Roman"/>
                <w:sz w:val="24"/>
                <w:szCs w:val="32"/>
              </w:rPr>
              <w:t>180</w:t>
            </w:r>
            <w:r>
              <w:rPr>
                <w:rFonts w:hint="eastAsia"/>
                <w:sz w:val="24"/>
                <w:szCs w:val="32"/>
              </w:rPr>
              <w:t>平方米（含）以下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sz w:val="24"/>
                <w:szCs w:val="32"/>
              </w:rPr>
            </w:pPr>
            <w:r>
              <w:rPr>
                <w:rFonts w:hint="eastAsia"/>
                <w:sz w:val="24"/>
                <w:szCs w:val="32"/>
              </w:rPr>
              <w:t>第三层次</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60" w:lineRule="exact"/>
              <w:rPr>
                <w:sz w:val="24"/>
                <w:szCs w:val="32"/>
              </w:rPr>
            </w:pPr>
            <w:r>
              <w:rPr>
                <w:rFonts w:hint="eastAsia"/>
                <w:sz w:val="24"/>
                <w:szCs w:val="32"/>
              </w:rPr>
              <w:t>享受国务院政府特殊津贴人员</w:t>
            </w:r>
            <w:r>
              <w:rPr>
                <w:sz w:val="24"/>
                <w:szCs w:val="32"/>
              </w:rPr>
              <w:t>;</w:t>
            </w:r>
            <w:r>
              <w:rPr>
                <w:rFonts w:hint="eastAsia"/>
                <w:sz w:val="24"/>
                <w:szCs w:val="32"/>
              </w:rPr>
              <w:t>省部级有突出贡献的中青年专家、山东省</w:t>
            </w:r>
            <w:r>
              <w:rPr>
                <w:sz w:val="24"/>
                <w:szCs w:val="32"/>
              </w:rPr>
              <w:t>“</w:t>
            </w:r>
            <w:r>
              <w:rPr>
                <w:rFonts w:hint="eastAsia"/>
                <w:sz w:val="24"/>
                <w:szCs w:val="32"/>
              </w:rPr>
              <w:t>泰山学者</w:t>
            </w:r>
            <w:r>
              <w:rPr>
                <w:sz w:val="24"/>
                <w:szCs w:val="32"/>
              </w:rPr>
              <w:t>”</w:t>
            </w:r>
            <w:r>
              <w:rPr>
                <w:rFonts w:hint="eastAsia"/>
                <w:sz w:val="24"/>
                <w:szCs w:val="32"/>
              </w:rPr>
              <w:t>、省</w:t>
            </w:r>
            <w:r>
              <w:rPr>
                <w:sz w:val="24"/>
                <w:szCs w:val="32"/>
              </w:rPr>
              <w:t>“</w:t>
            </w:r>
            <w:r>
              <w:rPr>
                <w:rFonts w:hint="eastAsia"/>
                <w:sz w:val="24"/>
                <w:szCs w:val="32"/>
              </w:rPr>
              <w:t>泰山学者海外特聘专家</w:t>
            </w:r>
            <w:r>
              <w:rPr>
                <w:sz w:val="24"/>
                <w:szCs w:val="32"/>
              </w:rPr>
              <w:t>”;</w:t>
            </w:r>
            <w:r>
              <w:rPr>
                <w:rFonts w:hint="eastAsia"/>
                <w:sz w:val="24"/>
                <w:szCs w:val="32"/>
              </w:rPr>
              <w:t>一级演职人员</w:t>
            </w:r>
            <w:r>
              <w:rPr>
                <w:sz w:val="24"/>
                <w:szCs w:val="32"/>
              </w:rPr>
              <w:t>;</w:t>
            </w:r>
            <w:r>
              <w:rPr>
                <w:rFonts w:hint="eastAsia"/>
                <w:sz w:val="24"/>
                <w:szCs w:val="32"/>
              </w:rPr>
              <w:t>培养出在奥运会或世锦赛上夺得金牌的运动员的国家级教练员</w:t>
            </w:r>
            <w:r>
              <w:rPr>
                <w:sz w:val="24"/>
                <w:szCs w:val="32"/>
              </w:rPr>
              <w:t>;</w:t>
            </w:r>
            <w:r>
              <w:rPr>
                <w:rFonts w:hint="eastAsia"/>
                <w:sz w:val="24"/>
                <w:szCs w:val="32"/>
              </w:rPr>
              <w:t>获省自然科学奖、技术发明奖、科学技术进步奖一等奖的前</w:t>
            </w:r>
            <w:r>
              <w:rPr>
                <w:rFonts w:ascii="Times New Roman" w:hAnsi="Times New Roman"/>
                <w:sz w:val="24"/>
                <w:szCs w:val="32"/>
              </w:rPr>
              <w:t>2</w:t>
            </w:r>
            <w:r>
              <w:rPr>
                <w:rFonts w:hint="eastAsia"/>
                <w:sz w:val="24"/>
                <w:szCs w:val="32"/>
              </w:rPr>
              <w:t>位完成人</w:t>
            </w:r>
            <w:r>
              <w:rPr>
                <w:sz w:val="24"/>
                <w:szCs w:val="32"/>
              </w:rPr>
              <w:t>;</w:t>
            </w:r>
            <w:r>
              <w:rPr>
                <w:rFonts w:hint="eastAsia"/>
                <w:sz w:val="24"/>
                <w:szCs w:val="32"/>
              </w:rPr>
              <w:t>获中华技能大奖或全国技术能手的高技能人才</w:t>
            </w:r>
            <w:r>
              <w:rPr>
                <w:sz w:val="24"/>
                <w:szCs w:val="32"/>
              </w:rPr>
              <w:t>;</w:t>
            </w:r>
            <w:r>
              <w:rPr>
                <w:rFonts w:hint="eastAsia"/>
                <w:sz w:val="24"/>
                <w:szCs w:val="32"/>
              </w:rPr>
              <w:t>青岛市创业创新领军人才；青岛拔尖人才；青岛市特聘专家突出贡献奖获得者；青岛市名师名校长、青岛市高层次卫生人才、青岛市文化领军人才和青岛高层次金融人才；公共事业急需高层次人才；正高职称人员；其他相应层次人员。</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sz w:val="24"/>
                <w:szCs w:val="32"/>
              </w:rPr>
            </w:pPr>
            <w:r>
              <w:rPr>
                <w:rFonts w:ascii="Times New Roman" w:hAnsi="Times New Roman"/>
                <w:sz w:val="24"/>
                <w:szCs w:val="32"/>
              </w:rPr>
              <w:t>160</w:t>
            </w:r>
            <w:r>
              <w:rPr>
                <w:rFonts w:hint="eastAsia"/>
                <w:sz w:val="24"/>
                <w:szCs w:val="32"/>
              </w:rPr>
              <w:t>平方米（含）以下</w:t>
            </w:r>
          </w:p>
        </w:tc>
      </w:tr>
    </w:tbl>
    <w:p>
      <w:pPr>
        <w:jc w:val="left"/>
        <w:rPr>
          <w:rFonts w:ascii="仿宋_GB2312" w:hAnsi="仿宋" w:eastAsia="仿宋_GB2312"/>
          <w:sz w:val="36"/>
          <w:szCs w:val="36"/>
        </w:rPr>
      </w:pPr>
    </w:p>
    <w:tbl>
      <w:tblPr>
        <w:tblStyle w:val="4"/>
        <w:tblpPr w:leftFromText="180" w:rightFromText="180" w:vertAnchor="text" w:horzAnchor="page" w:tblpX="1605" w:tblpY="4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5687"/>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hint="eastAsia"/>
                <w:sz w:val="24"/>
                <w:szCs w:val="32"/>
              </w:rPr>
              <w:t>第四层次</w:t>
            </w:r>
          </w:p>
        </w:tc>
        <w:tc>
          <w:tcPr>
            <w:tcW w:w="5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sz w:val="24"/>
                <w:szCs w:val="32"/>
              </w:rPr>
            </w:pPr>
            <w:r>
              <w:rPr>
                <w:rFonts w:hint="eastAsia"/>
                <w:sz w:val="24"/>
                <w:szCs w:val="32"/>
              </w:rPr>
              <w:t>副高职称人员；博士和博士后；全日制硕士（全脱产学习）；来青投资创业一次性投资额在</w:t>
            </w:r>
            <w:r>
              <w:rPr>
                <w:rFonts w:ascii="Times New Roman" w:hAnsi="Times New Roman"/>
                <w:sz w:val="24"/>
                <w:szCs w:val="32"/>
              </w:rPr>
              <w:t>300</w:t>
            </w:r>
            <w:r>
              <w:rPr>
                <w:sz w:val="24"/>
                <w:szCs w:val="32"/>
              </w:rPr>
              <w:t xml:space="preserve"> </w:t>
            </w:r>
            <w:r>
              <w:rPr>
                <w:rFonts w:hint="eastAsia"/>
                <w:sz w:val="24"/>
                <w:szCs w:val="32"/>
              </w:rPr>
              <w:t>万元人民币以上</w:t>
            </w:r>
            <w:r>
              <w:rPr>
                <w:sz w:val="24"/>
                <w:szCs w:val="32"/>
              </w:rPr>
              <w:t>,</w:t>
            </w:r>
            <w:r>
              <w:rPr>
                <w:rFonts w:hint="eastAsia"/>
                <w:sz w:val="24"/>
                <w:szCs w:val="32"/>
              </w:rPr>
              <w:t>并年缴税额在</w:t>
            </w:r>
            <w:r>
              <w:rPr>
                <w:rFonts w:ascii="Times New Roman" w:hAnsi="Times New Roman"/>
                <w:sz w:val="24"/>
                <w:szCs w:val="32"/>
              </w:rPr>
              <w:t>30</w:t>
            </w:r>
            <w:r>
              <w:rPr>
                <w:rFonts w:hint="eastAsia"/>
                <w:sz w:val="24"/>
                <w:szCs w:val="32"/>
              </w:rPr>
              <w:t>万元以上或企业聘用本市员工</w:t>
            </w:r>
            <w:r>
              <w:rPr>
                <w:rFonts w:ascii="Times New Roman" w:hAnsi="Times New Roman"/>
                <w:sz w:val="24"/>
                <w:szCs w:val="32"/>
              </w:rPr>
              <w:t>30</w:t>
            </w:r>
            <w:r>
              <w:rPr>
                <w:rFonts w:hint="eastAsia"/>
                <w:sz w:val="24"/>
                <w:szCs w:val="32"/>
              </w:rPr>
              <w:t>人以上人员；</w:t>
            </w:r>
            <w:r>
              <w:rPr>
                <w:sz w:val="24"/>
                <w:szCs w:val="32"/>
              </w:rPr>
              <w:t>“</w:t>
            </w:r>
            <w:r>
              <w:rPr>
                <w:rFonts w:hint="eastAsia"/>
                <w:sz w:val="24"/>
                <w:szCs w:val="32"/>
              </w:rPr>
              <w:t>山东省首席技师、青岛市首席技师、青岛</w:t>
            </w:r>
            <w:r>
              <w:rPr>
                <w:sz w:val="24"/>
                <w:szCs w:val="32"/>
              </w:rPr>
              <w:t>(</w:t>
            </w:r>
            <w:r>
              <w:rPr>
                <w:rFonts w:hint="eastAsia"/>
                <w:sz w:val="24"/>
                <w:szCs w:val="32"/>
              </w:rPr>
              <w:t>技能型</w:t>
            </w:r>
            <w:r>
              <w:rPr>
                <w:sz w:val="24"/>
                <w:szCs w:val="32"/>
              </w:rPr>
              <w:t>)</w:t>
            </w:r>
            <w:r>
              <w:rPr>
                <w:rFonts w:hint="eastAsia"/>
                <w:sz w:val="24"/>
                <w:szCs w:val="32"/>
              </w:rPr>
              <w:t>拔尖人才</w:t>
            </w:r>
            <w:r>
              <w:rPr>
                <w:sz w:val="24"/>
                <w:szCs w:val="32"/>
              </w:rPr>
              <w:t>”</w:t>
            </w:r>
            <w:r>
              <w:rPr>
                <w:rFonts w:hint="eastAsia"/>
                <w:sz w:val="24"/>
                <w:szCs w:val="32"/>
              </w:rPr>
              <w:t>等称号获得者；高级技师；其他相应层次人员。</w:t>
            </w:r>
          </w:p>
        </w:tc>
        <w:tc>
          <w:tcPr>
            <w:tcW w:w="1388" w:type="dxa"/>
            <w:tcBorders>
              <w:top w:val="single" w:color="auto" w:sz="4" w:space="0"/>
              <w:left w:val="single" w:color="auto" w:sz="4" w:space="0"/>
              <w:bottom w:val="single" w:color="auto" w:sz="4" w:space="0"/>
              <w:right w:val="single" w:color="auto" w:sz="4" w:space="0"/>
            </w:tcBorders>
          </w:tcPr>
          <w:p>
            <w:pPr>
              <w:widowControl/>
              <w:jc w:val="left"/>
            </w:pPr>
            <w:r>
              <w:rPr>
                <w:rFonts w:ascii="Times New Roman" w:hAnsi="Times New Roman"/>
                <w:sz w:val="24"/>
                <w:szCs w:val="32"/>
              </w:rPr>
              <w:t>140</w:t>
            </w:r>
            <w:r>
              <w:rPr>
                <w:rFonts w:hint="eastAsia"/>
                <w:sz w:val="24"/>
                <w:szCs w:val="32"/>
              </w:rPr>
              <w:t>平方米（含）以下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hint="eastAsia"/>
                <w:sz w:val="24"/>
                <w:szCs w:val="32"/>
              </w:rPr>
              <w:t>第五层次</w:t>
            </w:r>
          </w:p>
        </w:tc>
        <w:tc>
          <w:tcPr>
            <w:tcW w:w="5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sz w:val="24"/>
                <w:szCs w:val="32"/>
              </w:rPr>
            </w:pPr>
            <w:r>
              <w:rPr>
                <w:rFonts w:hint="eastAsia"/>
                <w:sz w:val="24"/>
                <w:szCs w:val="32"/>
              </w:rPr>
              <w:t>硕士研究生；技师；其他相应层次人员。</w:t>
            </w:r>
          </w:p>
        </w:tc>
        <w:tc>
          <w:tcPr>
            <w:tcW w:w="1388" w:type="dxa"/>
            <w:vMerge w:val="restart"/>
            <w:tcBorders>
              <w:top w:val="single" w:color="auto" w:sz="4" w:space="0"/>
              <w:left w:val="single" w:color="auto" w:sz="4" w:space="0"/>
              <w:bottom w:val="single" w:color="auto" w:sz="4" w:space="0"/>
              <w:right w:val="single" w:color="auto" w:sz="4" w:space="0"/>
            </w:tcBorders>
          </w:tcPr>
          <w:p>
            <w:pPr>
              <w:widowControl/>
              <w:jc w:val="left"/>
            </w:pPr>
            <w:r>
              <w:rPr>
                <w:rFonts w:ascii="Times New Roman" w:hAnsi="Times New Roman"/>
                <w:sz w:val="24"/>
                <w:szCs w:val="32"/>
              </w:rPr>
              <w:t>120</w:t>
            </w:r>
            <w:r>
              <w:rPr>
                <w:rFonts w:hint="eastAsia"/>
                <w:sz w:val="24"/>
                <w:szCs w:val="32"/>
              </w:rPr>
              <w:t>平方米（含）以下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hint="eastAsia"/>
                <w:sz w:val="24"/>
                <w:szCs w:val="32"/>
              </w:rPr>
              <w:t>第六层次</w:t>
            </w:r>
          </w:p>
        </w:tc>
        <w:tc>
          <w:tcPr>
            <w:tcW w:w="5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60" w:lineRule="exact"/>
              <w:rPr>
                <w:sz w:val="24"/>
                <w:szCs w:val="32"/>
              </w:rPr>
            </w:pPr>
            <w:r>
              <w:rPr>
                <w:rFonts w:hint="eastAsia"/>
                <w:sz w:val="24"/>
                <w:szCs w:val="32"/>
              </w:rPr>
              <w:t>本科毕业生；高级工；来青投资创业一次性投资额在</w:t>
            </w:r>
            <w:r>
              <w:rPr>
                <w:rFonts w:ascii="Times New Roman" w:hAnsi="Times New Roman"/>
                <w:sz w:val="24"/>
                <w:szCs w:val="32"/>
              </w:rPr>
              <w:t>100</w:t>
            </w:r>
            <w:r>
              <w:rPr>
                <w:rFonts w:hint="eastAsia"/>
                <w:sz w:val="24"/>
                <w:szCs w:val="32"/>
              </w:rPr>
              <w:t>万元人民币以上</w:t>
            </w:r>
            <w:r>
              <w:rPr>
                <w:sz w:val="24"/>
                <w:szCs w:val="32"/>
              </w:rPr>
              <w:t>,</w:t>
            </w:r>
            <w:r>
              <w:rPr>
                <w:rFonts w:hint="eastAsia"/>
                <w:sz w:val="24"/>
                <w:szCs w:val="32"/>
              </w:rPr>
              <w:t>并年缴税额在</w:t>
            </w:r>
            <w:r>
              <w:rPr>
                <w:rFonts w:ascii="Times New Roman" w:hAnsi="Times New Roman"/>
                <w:sz w:val="24"/>
                <w:szCs w:val="32"/>
              </w:rPr>
              <w:t>10</w:t>
            </w:r>
            <w:r>
              <w:rPr>
                <w:rFonts w:hint="eastAsia"/>
                <w:sz w:val="24"/>
                <w:szCs w:val="32"/>
              </w:rPr>
              <w:t>万元以上或企业聘用本市员工</w:t>
            </w:r>
            <w:r>
              <w:rPr>
                <w:rFonts w:ascii="Times New Roman" w:hAnsi="Times New Roman"/>
                <w:sz w:val="24"/>
                <w:szCs w:val="32"/>
              </w:rPr>
              <w:t>10</w:t>
            </w:r>
            <w:r>
              <w:rPr>
                <w:rFonts w:hint="eastAsia"/>
                <w:sz w:val="24"/>
                <w:szCs w:val="32"/>
              </w:rPr>
              <w:t>人以上人员；其他相应层次人员。</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sz w:val="24"/>
                <w:szCs w:val="32"/>
              </w:rPr>
            </w:pPr>
            <w:r>
              <w:rPr>
                <w:rFonts w:hint="eastAsia"/>
                <w:sz w:val="24"/>
                <w:szCs w:val="32"/>
              </w:rPr>
              <w:t>第七层次</w:t>
            </w:r>
          </w:p>
        </w:tc>
        <w:tc>
          <w:tcPr>
            <w:tcW w:w="5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60" w:lineRule="exact"/>
              <w:rPr>
                <w:sz w:val="24"/>
                <w:szCs w:val="32"/>
              </w:rPr>
            </w:pPr>
            <w:r>
              <w:rPr>
                <w:rFonts w:hint="eastAsia"/>
                <w:sz w:val="24"/>
                <w:szCs w:val="32"/>
              </w:rPr>
              <w:t>大专学历人员；初、中级职称人员；中级技能人员。</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bl>
    <w:p>
      <w:pPr>
        <w:pStyle w:val="8"/>
        <w:ind w:firstLine="0" w:firstLineChars="0"/>
        <w:rPr>
          <w:rFonts w:ascii="黑体" w:hAnsi="黑体" w:eastAsia="黑体" w:cs="方正小标宋_GBK"/>
          <w:sz w:val="32"/>
          <w:szCs w:val="32"/>
        </w:rPr>
      </w:pPr>
      <w:r>
        <w:rPr>
          <w:rFonts w:hint="eastAsia" w:ascii="仿宋" w:hAnsi="仿宋" w:eastAsia="仿宋" w:cs="方正小标宋_GBK"/>
          <w:sz w:val="32"/>
          <w:szCs w:val="32"/>
        </w:rPr>
        <w:t xml:space="preserve">附件2:                </w:t>
      </w:r>
      <w:r>
        <w:rPr>
          <w:rFonts w:hint="eastAsia" w:ascii="黑体" w:hAnsi="黑体" w:eastAsia="黑体" w:cs="方正小标宋_GBK"/>
          <w:sz w:val="32"/>
          <w:szCs w:val="32"/>
        </w:rPr>
        <w:t>政策咨询电话</w:t>
      </w:r>
    </w:p>
    <w:p>
      <w:pPr>
        <w:pStyle w:val="8"/>
        <w:ind w:firstLine="0" w:firstLineChars="0"/>
        <w:rPr>
          <w:rFonts w:ascii="MS Mincho" w:hAnsi="MS Mincho" w:cs="MS Mincho"/>
          <w:sz w:val="32"/>
          <w:szCs w:val="32"/>
        </w:rPr>
      </w:pPr>
      <w:r>
        <w:rPr>
          <w:rFonts w:hint="eastAsia" w:ascii="仿宋" w:hAnsi="仿宋" w:eastAsia="仿宋" w:cs="方正小标宋_GBK"/>
          <w:sz w:val="32"/>
          <w:szCs w:val="32"/>
        </w:rPr>
        <w:t>市政集团：17669709192、13210197992</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城发集团：15563915231、15563925090</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开投集团：17669780016、15563906887</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动投集团：58099377、58099378</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城阳街道报名电话：66851304</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流亭街道报名电话：66912852</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夏庄街道报名电话：58900198</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惜福镇街道报名电话：87884828</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棘洪滩街道报名电话：87920532</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上马街道报名电话：87811239</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人才共有产权住房政策领导小组办公室电话：66737176</w:t>
      </w:r>
    </w:p>
    <w:p>
      <w:pPr>
        <w:pStyle w:val="8"/>
        <w:ind w:firstLine="0" w:firstLineChars="0"/>
        <w:rPr>
          <w:rFonts w:ascii="仿宋" w:hAnsi="仿宋" w:eastAsia="仿宋" w:cs="方正小标宋_GBK"/>
          <w:sz w:val="32"/>
          <w:szCs w:val="32"/>
        </w:rPr>
      </w:pPr>
      <w:r>
        <w:rPr>
          <w:rFonts w:hint="eastAsia" w:ascii="仿宋" w:hAnsi="仿宋" w:eastAsia="仿宋" w:cs="方正小标宋_GBK"/>
          <w:sz w:val="32"/>
          <w:szCs w:val="32"/>
        </w:rPr>
        <w:t>人才层次咨询电话：66791616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70835"/>
    <w:rsid w:val="00387CF2"/>
    <w:rsid w:val="00770835"/>
    <w:rsid w:val="00D9648F"/>
    <w:rsid w:val="00E47DFE"/>
    <w:rsid w:val="29DD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 w:type="character" w:customStyle="1" w:styleId="9">
    <w:name w:val="shenlan1"/>
    <w:qFormat/>
    <w:uiPriority w:val="0"/>
    <w:rPr>
      <w:color w:val="08529B"/>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587</Words>
  <Characters>3348</Characters>
  <Lines>27</Lines>
  <Paragraphs>7</Paragraphs>
  <TotalTime>0</TotalTime>
  <ScaleCrop>false</ScaleCrop>
  <LinksUpToDate>false</LinksUpToDate>
  <CharactersWithSpaces>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2020-07-27T12:23:00Z</dcterms:created>
  <dc:creator>闫格宁</dc:creator>
  <cp:lastModifiedBy>杨慧娟</cp:lastModifiedBy>
  <dcterms:modified xsi:type="dcterms:W3CDTF">2021-03-25T05:01:12Z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241758600_cloud</vt:lpwstr>
  </property>
  <property fmtid="{D5CDD505-2E9C-101B-9397-08002B2CF9AE}" pid="3" name="KSOProductBuildVer">
    <vt:lpwstr>2052-11.1.0.10356</vt:lpwstr>
  </property>
  <property fmtid="{D5CDD505-2E9C-101B-9397-08002B2CF9AE}" pid="4" name="ICV">
    <vt:lpwstr>AE7B86AE0CA44AA0A20B46CC6441CF79</vt:lpwstr>
  </property>
</Properties>
</file>