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A11F8">
      <w:pPr>
        <w:widowControl/>
        <w:jc w:val="center"/>
        <w:rPr>
          <w:lang w:val="en-US"/>
        </w:rPr>
      </w:pPr>
      <w:r>
        <w:rPr>
          <w:rFonts w:hint="eastAsia"/>
          <w:b/>
          <w:bCs/>
          <w:sz w:val="36"/>
          <w:szCs w:val="36"/>
        </w:rPr>
        <w:t>南华大学</w:t>
      </w:r>
      <w:r>
        <w:rPr>
          <w:rFonts w:hint="eastAsia"/>
          <w:b/>
          <w:bCs/>
          <w:sz w:val="36"/>
          <w:szCs w:val="36"/>
          <w:lang w:val="en-US" w:eastAsia="zh-CN"/>
        </w:rPr>
        <w:t>衡阳医学院诚聘海内外优秀人才</w:t>
      </w:r>
    </w:p>
    <w:p w14:paraId="13840065">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lang w:val="en-US" w:eastAsia="zh-CN" w:bidi="ar-SA"/>
        </w:rPr>
      </w:pPr>
      <w:r>
        <w:rPr>
          <w:rFonts w:hint="eastAsia" w:ascii="宋体" w:hAnsi="宋体" w:eastAsia="宋体" w:cs="宋体"/>
          <w:i w:val="0"/>
          <w:iCs w:val="0"/>
          <w:caps w:val="0"/>
          <w:color w:val="222222"/>
          <w:spacing w:val="8"/>
          <w:kern w:val="2"/>
          <w:sz w:val="24"/>
          <w:szCs w:val="24"/>
          <w:shd w:val="clear" w:color="080000" w:fill="FFFFFF"/>
          <w:lang w:val="en-US" w:eastAsia="zh-CN" w:bidi="ar-SA"/>
        </w:rPr>
        <w:t>南华大学衡阳医学院坐落于历史文化名城、省域副中心城市湖南衡阳。学院筹办于1956年，在筹备委员会副主任华国锋同志领导下和湖南医学院全力支援下，1958年正式招收本科医学生。2000年，衡阳医学院与中南工学院合并组建南华大学。南华大学为国内一流大学建设高校、是工业和信息化部、生态环境部、国家卫生健康委员会、国家国防科技工业局、中国核工业集团公司与湖南省人民政府共建的综合性大学。2018年, 南华大学恢复组建衡阳医学院。衡阳医学院及其附属医院是国家卫生健康委员会与湖南省人民政府共建的地方综合性大学唯一医学院和附属医院。</w:t>
      </w:r>
    </w:p>
    <w:p w14:paraId="11F4307C">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lang w:val="en-US" w:eastAsia="zh-CN" w:bidi="ar-SA"/>
        </w:rPr>
      </w:pPr>
      <w:r>
        <w:rPr>
          <w:rFonts w:hint="eastAsia" w:ascii="宋体" w:hAnsi="宋体" w:eastAsia="宋体" w:cs="宋体"/>
          <w:i w:val="0"/>
          <w:iCs w:val="0"/>
          <w:caps w:val="0"/>
          <w:color w:val="222222"/>
          <w:spacing w:val="8"/>
          <w:kern w:val="2"/>
          <w:sz w:val="24"/>
          <w:szCs w:val="24"/>
          <w:shd w:val="clear" w:color="080000" w:fill="FFFFFF"/>
          <w:lang w:val="en-US" w:eastAsia="zh-CN" w:bidi="ar-SA"/>
        </w:rPr>
        <w:t>学院</w:t>
      </w:r>
      <w:r>
        <w:rPr>
          <w:rFonts w:hint="eastAsia" w:ascii="宋体" w:hAnsi="宋体" w:cs="宋体"/>
          <w:i w:val="0"/>
          <w:iCs w:val="0"/>
          <w:caps w:val="0"/>
          <w:color w:val="222222"/>
          <w:spacing w:val="8"/>
          <w:kern w:val="2"/>
          <w:sz w:val="24"/>
          <w:szCs w:val="24"/>
          <w:shd w:val="clear" w:color="080000" w:fill="FFFFFF"/>
          <w:lang w:val="en-US" w:eastAsia="zh-CN" w:bidi="ar-SA"/>
        </w:rPr>
        <w:t>的</w:t>
      </w:r>
      <w:r>
        <w:rPr>
          <w:rFonts w:hint="eastAsia" w:ascii="宋体" w:hAnsi="宋体" w:eastAsia="宋体" w:cs="宋体"/>
          <w:i w:val="0"/>
          <w:iCs w:val="0"/>
          <w:caps w:val="0"/>
          <w:color w:val="222222"/>
          <w:spacing w:val="8"/>
          <w:kern w:val="2"/>
          <w:sz w:val="24"/>
          <w:szCs w:val="24"/>
          <w:shd w:val="clear" w:color="080000" w:fill="FFFFFF"/>
          <w:lang w:val="en-US" w:eastAsia="zh-CN" w:bidi="ar-SA"/>
        </w:rPr>
        <w:t>组成单位包括：基础医学院、药学院、公共卫生学院、护理学院、附属第一医院(第一临床学院)、附属第二医院(第二临床学院)、附属南华医院(南华临床学院)、附属长沙中心医院(长沙中心医院临床学院)、附属第三医院(第三临床学院)、附属第七医院、附属妇幼保健院、附属职业病防治院等15家附属医院（其中6所直属三甲综合性医院），拥有一级学科博士后科研流动站2个（基础医学、临床医学），一级学科博士学位授权点</w:t>
      </w:r>
      <w:r>
        <w:rPr>
          <w:rFonts w:hint="eastAsia" w:ascii="宋体" w:hAnsi="宋体" w:cs="宋体"/>
          <w:i w:val="0"/>
          <w:iCs w:val="0"/>
          <w:caps w:val="0"/>
          <w:color w:val="222222"/>
          <w:spacing w:val="8"/>
          <w:kern w:val="2"/>
          <w:sz w:val="24"/>
          <w:szCs w:val="24"/>
          <w:shd w:val="clear" w:color="080000" w:fill="FFFFFF"/>
          <w:lang w:val="en-US" w:eastAsia="zh-CN" w:bidi="ar-SA"/>
        </w:rPr>
        <w:t>4</w:t>
      </w:r>
      <w:r>
        <w:rPr>
          <w:rFonts w:hint="eastAsia" w:ascii="宋体" w:hAnsi="宋体" w:eastAsia="宋体" w:cs="宋体"/>
          <w:i w:val="0"/>
          <w:iCs w:val="0"/>
          <w:caps w:val="0"/>
          <w:color w:val="222222"/>
          <w:spacing w:val="8"/>
          <w:kern w:val="2"/>
          <w:sz w:val="24"/>
          <w:szCs w:val="24"/>
          <w:shd w:val="clear" w:color="080000" w:fill="FFFFFF"/>
          <w:lang w:val="en-US" w:eastAsia="zh-CN" w:bidi="ar-SA"/>
        </w:rPr>
        <w:t>个（基础医学、临床医学</w:t>
      </w:r>
      <w:r>
        <w:rPr>
          <w:rFonts w:hint="eastAsia" w:ascii="宋体" w:hAnsi="宋体" w:cs="宋体"/>
          <w:i w:val="0"/>
          <w:iCs w:val="0"/>
          <w:caps w:val="0"/>
          <w:color w:val="222222"/>
          <w:spacing w:val="8"/>
          <w:kern w:val="2"/>
          <w:sz w:val="24"/>
          <w:szCs w:val="24"/>
          <w:shd w:val="clear" w:color="080000" w:fill="FFFFFF"/>
          <w:lang w:val="en-US" w:eastAsia="zh-CN" w:bidi="ar-SA"/>
        </w:rPr>
        <w:t>学术/专业、公共卫生与预防医学</w:t>
      </w:r>
      <w:r>
        <w:rPr>
          <w:rFonts w:hint="eastAsia" w:ascii="宋体" w:hAnsi="宋体" w:eastAsia="宋体" w:cs="宋体"/>
          <w:i w:val="0"/>
          <w:iCs w:val="0"/>
          <w:caps w:val="0"/>
          <w:color w:val="222222"/>
          <w:spacing w:val="8"/>
          <w:kern w:val="2"/>
          <w:sz w:val="24"/>
          <w:szCs w:val="24"/>
          <w:shd w:val="clear" w:color="080000" w:fill="FFFFFF"/>
          <w:lang w:val="en-US" w:eastAsia="zh-CN" w:bidi="ar-SA"/>
        </w:rPr>
        <w:t>），一级学科硕士学位授权点6个（基础医学、临床医学、生物学、药学、公共卫生与预防医学、护理学），硕士专业学位授权类别4种（临床医学、药学、公共卫生硕士、护理学），医学类本科专业11个，形成了完整的医学人才培养体系。</w:t>
      </w:r>
    </w:p>
    <w:p w14:paraId="4A4533EB">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rPr>
      </w:pPr>
      <w:r>
        <w:rPr>
          <w:rFonts w:hint="eastAsia" w:ascii="宋体" w:hAnsi="宋体" w:eastAsia="宋体" w:cs="宋体"/>
          <w:i w:val="0"/>
          <w:iCs w:val="0"/>
          <w:caps w:val="0"/>
          <w:color w:val="222222"/>
          <w:spacing w:val="8"/>
          <w:kern w:val="2"/>
          <w:sz w:val="24"/>
          <w:szCs w:val="24"/>
          <w:shd w:val="clear" w:color="080000" w:fill="FFFFFF"/>
        </w:rPr>
        <w:t>学院现有基础教师</w:t>
      </w:r>
      <w:r>
        <w:rPr>
          <w:rFonts w:hint="eastAsia" w:ascii="宋体" w:hAnsi="宋体" w:eastAsia="宋体" w:cs="宋体"/>
          <w:i w:val="0"/>
          <w:iCs w:val="0"/>
          <w:caps w:val="0"/>
          <w:color w:val="222222"/>
          <w:spacing w:val="8"/>
          <w:kern w:val="2"/>
          <w:sz w:val="24"/>
          <w:szCs w:val="24"/>
          <w:shd w:val="clear" w:color="080000" w:fill="FFFFFF"/>
          <w:lang w:val="en-US" w:eastAsia="zh-CN"/>
        </w:rPr>
        <w:t>400</w:t>
      </w:r>
      <w:r>
        <w:rPr>
          <w:rFonts w:hint="eastAsia" w:ascii="宋体" w:hAnsi="宋体" w:eastAsia="宋体" w:cs="宋体"/>
          <w:i w:val="0"/>
          <w:iCs w:val="0"/>
          <w:caps w:val="0"/>
          <w:color w:val="222222"/>
          <w:spacing w:val="8"/>
          <w:kern w:val="2"/>
          <w:sz w:val="24"/>
          <w:szCs w:val="24"/>
          <w:shd w:val="clear" w:color="080000" w:fill="FFFFFF"/>
        </w:rPr>
        <w:t>余人，附属医院临床教师</w:t>
      </w:r>
      <w:r>
        <w:rPr>
          <w:rFonts w:hint="eastAsia" w:ascii="宋体" w:hAnsi="宋体" w:eastAsia="宋体" w:cs="宋体"/>
          <w:i w:val="0"/>
          <w:iCs w:val="0"/>
          <w:caps w:val="0"/>
          <w:color w:val="222222"/>
          <w:spacing w:val="8"/>
          <w:kern w:val="2"/>
          <w:sz w:val="24"/>
          <w:szCs w:val="24"/>
          <w:shd w:val="clear" w:color="080000" w:fill="FFFFFF"/>
          <w:lang w:val="en-US" w:eastAsia="zh-CN"/>
        </w:rPr>
        <w:t>3900</w:t>
      </w:r>
      <w:r>
        <w:rPr>
          <w:rFonts w:hint="eastAsia" w:ascii="宋体" w:hAnsi="宋体" w:eastAsia="宋体" w:cs="宋体"/>
          <w:i w:val="0"/>
          <w:iCs w:val="0"/>
          <w:caps w:val="0"/>
          <w:color w:val="222222"/>
          <w:spacing w:val="8"/>
          <w:kern w:val="2"/>
          <w:sz w:val="24"/>
          <w:szCs w:val="24"/>
          <w:shd w:val="clear" w:color="080000" w:fill="FFFFFF"/>
        </w:rPr>
        <w:t>余人，共有教授、主任医师等正高职称人员</w:t>
      </w:r>
      <w:r>
        <w:rPr>
          <w:rFonts w:hint="eastAsia" w:ascii="宋体" w:hAnsi="宋体" w:eastAsia="宋体" w:cs="宋体"/>
          <w:i w:val="0"/>
          <w:iCs w:val="0"/>
          <w:caps w:val="0"/>
          <w:color w:val="222222"/>
          <w:spacing w:val="8"/>
          <w:kern w:val="2"/>
          <w:sz w:val="24"/>
          <w:szCs w:val="24"/>
          <w:shd w:val="clear" w:color="080000" w:fill="FFFFFF"/>
          <w:lang w:val="en-US" w:eastAsia="zh-CN"/>
        </w:rPr>
        <w:t>6</w:t>
      </w:r>
      <w:r>
        <w:rPr>
          <w:rFonts w:hint="eastAsia" w:ascii="宋体" w:hAnsi="宋体" w:eastAsia="宋体" w:cs="宋体"/>
          <w:i w:val="0"/>
          <w:iCs w:val="0"/>
          <w:caps w:val="0"/>
          <w:color w:val="222222"/>
          <w:spacing w:val="8"/>
          <w:kern w:val="2"/>
          <w:sz w:val="24"/>
          <w:szCs w:val="24"/>
          <w:shd w:val="clear" w:color="080000" w:fill="FFFFFF"/>
        </w:rPr>
        <w:t>00余人， 博士学位教师</w:t>
      </w:r>
      <w:r>
        <w:rPr>
          <w:rFonts w:hint="eastAsia" w:ascii="宋体" w:hAnsi="宋体" w:eastAsia="宋体" w:cs="宋体"/>
          <w:i w:val="0"/>
          <w:iCs w:val="0"/>
          <w:caps w:val="0"/>
          <w:color w:val="222222"/>
          <w:spacing w:val="8"/>
          <w:kern w:val="2"/>
          <w:sz w:val="24"/>
          <w:szCs w:val="24"/>
          <w:shd w:val="clear" w:color="080000" w:fill="FFFFFF"/>
          <w:lang w:val="en-US" w:eastAsia="zh-CN"/>
        </w:rPr>
        <w:t>8</w:t>
      </w:r>
      <w:r>
        <w:rPr>
          <w:rFonts w:hint="eastAsia" w:ascii="宋体" w:hAnsi="宋体" w:eastAsia="宋体" w:cs="宋体"/>
          <w:i w:val="0"/>
          <w:iCs w:val="0"/>
          <w:caps w:val="0"/>
          <w:color w:val="222222"/>
          <w:spacing w:val="8"/>
          <w:kern w:val="2"/>
          <w:sz w:val="24"/>
          <w:szCs w:val="24"/>
          <w:shd w:val="clear" w:color="080000" w:fill="FFFFFF"/>
        </w:rPr>
        <w:t>00余人；有全国高校黄大年式教学团队1个，部省级创新团队、省高校科技创新团队、省级教学团队5个；有海外高层次人才计划入选者、长江学者特聘教授、国家杰出青年基金获得者等</w:t>
      </w:r>
      <w:r>
        <w:rPr>
          <w:rFonts w:hint="eastAsia" w:ascii="宋体" w:hAnsi="宋体" w:cs="宋体"/>
          <w:i w:val="0"/>
          <w:iCs w:val="0"/>
          <w:caps w:val="0"/>
          <w:color w:val="222222"/>
          <w:spacing w:val="8"/>
          <w:kern w:val="2"/>
          <w:sz w:val="24"/>
          <w:szCs w:val="24"/>
          <w:shd w:val="clear" w:color="080000" w:fill="FFFFFF"/>
          <w:lang w:val="en-US" w:eastAsia="zh-CN"/>
        </w:rPr>
        <w:t>国家级人才</w:t>
      </w:r>
      <w:r>
        <w:rPr>
          <w:rFonts w:hint="eastAsia" w:ascii="宋体" w:hAnsi="宋体" w:eastAsia="宋体" w:cs="宋体"/>
          <w:i w:val="0"/>
          <w:iCs w:val="0"/>
          <w:caps w:val="0"/>
          <w:color w:val="222222"/>
          <w:spacing w:val="8"/>
          <w:kern w:val="2"/>
          <w:sz w:val="24"/>
          <w:szCs w:val="24"/>
          <w:shd w:val="clear" w:color="080000" w:fill="FFFFFF"/>
        </w:rPr>
        <w:t>40余名，省部级学科学术带头人、高层次卫生人才、教学名师等</w:t>
      </w:r>
      <w:r>
        <w:rPr>
          <w:rFonts w:hint="eastAsia" w:ascii="宋体" w:hAnsi="宋体" w:eastAsia="宋体" w:cs="宋体"/>
          <w:i w:val="0"/>
          <w:iCs w:val="0"/>
          <w:caps w:val="0"/>
          <w:color w:val="222222"/>
          <w:spacing w:val="8"/>
          <w:kern w:val="2"/>
          <w:sz w:val="24"/>
          <w:szCs w:val="24"/>
          <w:shd w:val="clear" w:color="080000" w:fill="FFFFFF"/>
          <w:lang w:val="en-US" w:eastAsia="zh-CN"/>
        </w:rPr>
        <w:t>2</w:t>
      </w:r>
      <w:r>
        <w:rPr>
          <w:rFonts w:hint="eastAsia" w:ascii="宋体" w:hAnsi="宋体" w:eastAsia="宋体" w:cs="宋体"/>
          <w:i w:val="0"/>
          <w:iCs w:val="0"/>
          <w:caps w:val="0"/>
          <w:color w:val="222222"/>
          <w:spacing w:val="8"/>
          <w:kern w:val="2"/>
          <w:sz w:val="24"/>
          <w:szCs w:val="24"/>
          <w:shd w:val="clear" w:color="080000" w:fill="FFFFFF"/>
        </w:rPr>
        <w:t>40余名。</w:t>
      </w:r>
    </w:p>
    <w:p w14:paraId="639F9D56">
      <w:pPr>
        <w:pStyle w:val="3"/>
        <w:spacing w:before="150" w:beforeLines="0" w:beforeAutospacing="0" w:after="0" w:afterLines="0" w:afterAutospacing="0" w:line="504" w:lineRule="atLeast"/>
        <w:ind w:firstLine="560"/>
        <w:jc w:val="both"/>
        <w:rPr>
          <w:rStyle w:val="7"/>
          <w:sz w:val="28"/>
          <w:szCs w:val="28"/>
        </w:rPr>
      </w:pPr>
      <w:r>
        <w:rPr>
          <w:rFonts w:hint="eastAsia" w:ascii="宋体" w:hAnsi="宋体" w:eastAsia="宋体" w:cs="宋体"/>
          <w:i w:val="0"/>
          <w:iCs w:val="0"/>
          <w:caps w:val="0"/>
          <w:color w:val="222222"/>
          <w:spacing w:val="8"/>
          <w:kern w:val="2"/>
          <w:sz w:val="24"/>
          <w:szCs w:val="24"/>
          <w:shd w:val="clear" w:color="080000" w:fill="FFFFFF"/>
        </w:rPr>
        <w:t>学院获批</w:t>
      </w:r>
      <w:r>
        <w:rPr>
          <w:rFonts w:hint="eastAsia" w:ascii="宋体" w:hAnsi="宋体" w:cs="宋体"/>
          <w:i w:val="0"/>
          <w:iCs w:val="0"/>
          <w:caps w:val="0"/>
          <w:color w:val="222222"/>
          <w:spacing w:val="8"/>
          <w:kern w:val="2"/>
          <w:sz w:val="24"/>
          <w:szCs w:val="24"/>
          <w:shd w:val="clear" w:color="080000" w:fill="FFFFFF"/>
          <w:lang w:val="en-US" w:eastAsia="zh-CN"/>
        </w:rPr>
        <w:t>有</w:t>
      </w:r>
      <w:r>
        <w:rPr>
          <w:rFonts w:hint="eastAsia" w:ascii="宋体" w:hAnsi="宋体" w:eastAsia="宋体" w:cs="宋体"/>
          <w:i w:val="0"/>
          <w:iCs w:val="0"/>
          <w:caps w:val="0"/>
          <w:color w:val="222222"/>
          <w:spacing w:val="8"/>
          <w:kern w:val="2"/>
          <w:sz w:val="24"/>
          <w:szCs w:val="24"/>
          <w:shd w:val="clear" w:color="080000" w:fill="FFFFFF"/>
        </w:rPr>
        <w:t>国家核医结合创新人才培养示范基地、国家“111计划”学科创新引智基地、儿科罕见病教育部重点实验室、辐射-线粒体与人类重大疾病重点实验室、国家卫生健康委出生缺陷研究与预防重点实验室</w:t>
      </w:r>
      <w:r>
        <w:rPr>
          <w:rFonts w:hint="eastAsia" w:ascii="宋体" w:hAnsi="宋体" w:cs="宋体"/>
          <w:i w:val="0"/>
          <w:iCs w:val="0"/>
          <w:caps w:val="0"/>
          <w:color w:val="222222"/>
          <w:spacing w:val="8"/>
          <w:kern w:val="2"/>
          <w:sz w:val="24"/>
          <w:szCs w:val="24"/>
          <w:shd w:val="clear" w:color="080000" w:fill="FFFFFF"/>
          <w:lang w:eastAsia="zh-CN"/>
        </w:rPr>
        <w:t>。</w:t>
      </w:r>
      <w:r>
        <w:rPr>
          <w:rFonts w:hint="eastAsia" w:ascii="宋体" w:hAnsi="宋体" w:eastAsia="宋体" w:cs="宋体"/>
          <w:i w:val="0"/>
          <w:iCs w:val="0"/>
          <w:caps w:val="0"/>
          <w:color w:val="222222"/>
          <w:spacing w:val="8"/>
          <w:kern w:val="2"/>
          <w:sz w:val="24"/>
          <w:szCs w:val="24"/>
          <w:shd w:val="clear" w:color="080000" w:fill="FFFFFF"/>
        </w:rPr>
        <w:t>拥有国家级临床重点专科及建设项目与培育项目33个</w:t>
      </w:r>
      <w:r>
        <w:rPr>
          <w:rFonts w:hint="eastAsia" w:ascii="宋体" w:hAnsi="宋体" w:cs="宋体"/>
          <w:i w:val="0"/>
          <w:iCs w:val="0"/>
          <w:caps w:val="0"/>
          <w:color w:val="222222"/>
          <w:spacing w:val="8"/>
          <w:kern w:val="2"/>
          <w:sz w:val="24"/>
          <w:szCs w:val="24"/>
          <w:shd w:val="clear" w:color="080000" w:fill="FFFFFF"/>
          <w:lang w:eastAsia="zh-CN"/>
        </w:rPr>
        <w:t>、</w:t>
      </w:r>
      <w:r>
        <w:rPr>
          <w:rFonts w:hint="eastAsia" w:ascii="宋体" w:hAnsi="宋体" w:eastAsia="宋体" w:cs="宋体"/>
          <w:i w:val="0"/>
          <w:iCs w:val="0"/>
          <w:caps w:val="0"/>
          <w:color w:val="222222"/>
          <w:spacing w:val="8"/>
          <w:kern w:val="2"/>
          <w:sz w:val="24"/>
          <w:szCs w:val="24"/>
          <w:shd w:val="clear" w:color="080000" w:fill="FFFFFF"/>
        </w:rPr>
        <w:t>湖南省重点实验室、湖南省临床医学研究中心</w:t>
      </w:r>
      <w:r>
        <w:rPr>
          <w:rFonts w:hint="eastAsia" w:ascii="宋体" w:hAnsi="宋体" w:cs="宋体"/>
          <w:i w:val="0"/>
          <w:iCs w:val="0"/>
          <w:caps w:val="0"/>
          <w:color w:val="222222"/>
          <w:spacing w:val="8"/>
          <w:kern w:val="2"/>
          <w:sz w:val="24"/>
          <w:szCs w:val="24"/>
          <w:shd w:val="clear" w:color="080000" w:fill="FFFFFF"/>
          <w:lang w:val="en-US" w:eastAsia="zh-CN"/>
        </w:rPr>
        <w:t>等省级平台50余个</w:t>
      </w:r>
      <w:r>
        <w:rPr>
          <w:rFonts w:hint="eastAsia" w:ascii="宋体" w:hAnsi="宋体" w:eastAsia="宋体" w:cs="宋体"/>
          <w:i w:val="0"/>
          <w:iCs w:val="0"/>
          <w:caps w:val="0"/>
          <w:color w:val="222222"/>
          <w:spacing w:val="8"/>
          <w:kern w:val="2"/>
          <w:sz w:val="24"/>
          <w:szCs w:val="24"/>
          <w:shd w:val="clear" w:color="080000" w:fill="FFFFFF"/>
        </w:rPr>
        <w:t>。为国际动脉粥样硬化学会中国分会挂靠单位、亚洲支原体学组织（AOM）理事长单位，是中国病理生理学会动脉粥样硬化专业委员会主任委员单位。临床医学、药理学与毒理学科、生物物理与生物化学、分子生物学与遗传学进入ESI全球学科排名前1%。</w:t>
      </w:r>
      <w:r>
        <w:rPr>
          <w:rFonts w:hint="eastAsia" w:ascii="宋体" w:hAnsi="宋体" w:cs="宋体"/>
          <w:i w:val="0"/>
          <w:iCs w:val="0"/>
          <w:caps w:val="0"/>
          <w:color w:val="222222"/>
          <w:spacing w:val="8"/>
          <w:kern w:val="2"/>
          <w:sz w:val="24"/>
          <w:szCs w:val="24"/>
          <w:shd w:val="clear" w:color="080000" w:fill="FFFFFF"/>
          <w:lang w:val="en-US" w:eastAsia="zh-CN" w:bidi="ar-SA"/>
        </w:rPr>
        <w:t xml:space="preserve">    </w:t>
      </w:r>
    </w:p>
    <w:p w14:paraId="5083B7C2">
      <w:pPr>
        <w:pStyle w:val="3"/>
        <w:widowControl/>
        <w:spacing w:beforeAutospacing="0" w:afterAutospacing="0"/>
        <w:jc w:val="both"/>
        <w:rPr>
          <w:rStyle w:val="7"/>
          <w:sz w:val="28"/>
          <w:szCs w:val="28"/>
        </w:rPr>
      </w:pPr>
    </w:p>
    <w:p w14:paraId="613394D2">
      <w:pPr>
        <w:pStyle w:val="3"/>
        <w:widowControl/>
        <w:spacing w:beforeAutospacing="0" w:afterAutospacing="0"/>
        <w:jc w:val="center"/>
      </w:pPr>
      <w:r>
        <w:rPr>
          <w:rStyle w:val="7"/>
          <w:sz w:val="28"/>
          <w:szCs w:val="28"/>
        </w:rPr>
        <w:t>人才引进待遇</w:t>
      </w:r>
    </w:p>
    <w:p w14:paraId="251E1DB0">
      <w:pPr>
        <w:pStyle w:val="3"/>
        <w:widowControl/>
        <w:shd w:val="clear" w:color="auto" w:fill="FFFFFF"/>
        <w:spacing w:beforeAutospacing="0" w:afterAutospacing="0"/>
        <w:jc w:val="both"/>
        <w:rPr>
          <w:rFonts w:ascii="Microsoft YaHei UI" w:hAnsi="Microsoft YaHei UI" w:eastAsia="Microsoft YaHei UI" w:cs="Microsoft YaHei UI"/>
          <w:color w:val="222222"/>
          <w:spacing w:val="8"/>
          <w:sz w:val="25"/>
          <w:szCs w:val="25"/>
        </w:rPr>
      </w:pPr>
      <w:r>
        <w:rPr>
          <w:rStyle w:val="7"/>
          <w:rFonts w:hint="eastAsia" w:ascii="Microsoft YaHei UI" w:hAnsi="Microsoft YaHei UI" w:eastAsia="Microsoft YaHei UI" w:cs="Microsoft YaHei UI"/>
          <w:color w:val="395EC1"/>
          <w:spacing w:val="8"/>
          <w:shd w:val="clear" w:color="auto" w:fill="FFFFFF"/>
        </w:rPr>
        <w:t>1.高层次人才</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335"/>
        <w:gridCol w:w="2013"/>
        <w:gridCol w:w="1705"/>
        <w:gridCol w:w="1705"/>
      </w:tblGrid>
      <w:tr w14:paraId="2AD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top"/>
          </w:tcPr>
          <w:p w14:paraId="0F2BBDE5">
            <w:pPr>
              <w:pStyle w:val="3"/>
              <w:widowControl/>
              <w:spacing w:beforeAutospacing="0" w:afterAutospacing="0"/>
              <w:jc w:val="center"/>
              <w:rPr>
                <w:rFonts w:ascii="Microsoft YaHei UI" w:hAnsi="Microsoft YaHei UI" w:eastAsia="Microsoft YaHei UI" w:cs="Microsoft YaHei UI"/>
                <w:color w:val="222222"/>
                <w:spacing w:val="8"/>
                <w:sz w:val="25"/>
                <w:szCs w:val="25"/>
              </w:rPr>
            </w:pPr>
            <w:r>
              <w:rPr>
                <w:rStyle w:val="7"/>
                <w:rFonts w:hint="eastAsia" w:ascii="宋体" w:hAnsi="宋体" w:eastAsia="宋体" w:cs="宋体"/>
                <w:color w:val="395EC1"/>
              </w:rPr>
              <w:t>人才层次</w:t>
            </w:r>
          </w:p>
        </w:tc>
        <w:tc>
          <w:tcPr>
            <w:tcW w:w="1335" w:type="dxa"/>
            <w:vAlign w:val="top"/>
          </w:tcPr>
          <w:p w14:paraId="1BABE6D2">
            <w:pPr>
              <w:pStyle w:val="3"/>
              <w:widowControl/>
              <w:spacing w:beforeAutospacing="0" w:afterAutospacing="0"/>
              <w:jc w:val="center"/>
              <w:rPr>
                <w:rStyle w:val="7"/>
                <w:rFonts w:ascii="宋体" w:hAnsi="宋体" w:eastAsia="宋体" w:cs="宋体"/>
                <w:color w:val="395EC1"/>
              </w:rPr>
            </w:pPr>
            <w:r>
              <w:rPr>
                <w:rStyle w:val="7"/>
                <w:rFonts w:hint="eastAsia" w:ascii="宋体" w:hAnsi="宋体" w:eastAsia="宋体" w:cs="宋体"/>
                <w:color w:val="395EC1"/>
              </w:rPr>
              <w:t>年薪</w:t>
            </w:r>
          </w:p>
        </w:tc>
        <w:tc>
          <w:tcPr>
            <w:tcW w:w="2013" w:type="dxa"/>
            <w:vAlign w:val="top"/>
          </w:tcPr>
          <w:p w14:paraId="434CA633">
            <w:pPr>
              <w:pStyle w:val="3"/>
              <w:widowControl/>
              <w:spacing w:beforeAutospacing="0" w:afterAutospacing="0"/>
              <w:jc w:val="center"/>
              <w:rPr>
                <w:rStyle w:val="7"/>
                <w:rFonts w:ascii="宋体" w:hAnsi="宋体" w:eastAsia="宋体" w:cs="宋体"/>
                <w:color w:val="395EC1"/>
              </w:rPr>
            </w:pPr>
            <w:r>
              <w:rPr>
                <w:rStyle w:val="7"/>
                <w:rFonts w:hint="eastAsia" w:ascii="宋体" w:hAnsi="宋体" w:eastAsia="宋体" w:cs="宋体"/>
                <w:color w:val="395EC1"/>
              </w:rPr>
              <w:t>科研启动经费</w:t>
            </w:r>
          </w:p>
        </w:tc>
        <w:tc>
          <w:tcPr>
            <w:tcW w:w="1705" w:type="dxa"/>
            <w:vAlign w:val="top"/>
          </w:tcPr>
          <w:p w14:paraId="10147A53">
            <w:pPr>
              <w:pStyle w:val="3"/>
              <w:widowControl/>
              <w:spacing w:beforeAutospacing="0" w:afterAutospacing="0"/>
              <w:jc w:val="center"/>
              <w:rPr>
                <w:rStyle w:val="7"/>
                <w:rFonts w:ascii="宋体" w:hAnsi="宋体" w:eastAsia="宋体" w:cs="宋体"/>
                <w:color w:val="395EC1"/>
              </w:rPr>
            </w:pPr>
            <w:r>
              <w:rPr>
                <w:rStyle w:val="7"/>
                <w:rFonts w:hint="eastAsia" w:ascii="宋体" w:hAnsi="宋体" w:eastAsia="宋体" w:cs="宋体"/>
                <w:color w:val="395EC1"/>
              </w:rPr>
              <w:t>安家费</w:t>
            </w:r>
          </w:p>
        </w:tc>
        <w:tc>
          <w:tcPr>
            <w:tcW w:w="1705" w:type="dxa"/>
            <w:vAlign w:val="top"/>
          </w:tcPr>
          <w:p w14:paraId="60962AE7">
            <w:pPr>
              <w:pStyle w:val="3"/>
              <w:widowControl/>
              <w:spacing w:beforeAutospacing="0" w:afterAutospacing="0"/>
              <w:jc w:val="center"/>
              <w:rPr>
                <w:rStyle w:val="7"/>
                <w:rFonts w:ascii="宋体" w:hAnsi="宋体" w:eastAsia="宋体" w:cs="宋体"/>
                <w:color w:val="395EC1"/>
              </w:rPr>
            </w:pPr>
            <w:r>
              <w:rPr>
                <w:rStyle w:val="7"/>
                <w:rFonts w:hint="eastAsia" w:ascii="宋体" w:hAnsi="宋体" w:eastAsia="宋体" w:cs="宋体"/>
                <w:color w:val="395EC1"/>
              </w:rPr>
              <w:t>支持条件</w:t>
            </w:r>
          </w:p>
        </w:tc>
      </w:tr>
      <w:tr w14:paraId="6101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64" w:type="dxa"/>
            <w:vAlign w:val="center"/>
          </w:tcPr>
          <w:p w14:paraId="39916BE3">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学科顶尖人才</w:t>
            </w:r>
          </w:p>
        </w:tc>
        <w:tc>
          <w:tcPr>
            <w:tcW w:w="1335" w:type="dxa"/>
            <w:vAlign w:val="center"/>
          </w:tcPr>
          <w:p w14:paraId="5B07CE26">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面议</w:t>
            </w:r>
          </w:p>
        </w:tc>
        <w:tc>
          <w:tcPr>
            <w:tcW w:w="2013" w:type="dxa"/>
            <w:vAlign w:val="center"/>
          </w:tcPr>
          <w:p w14:paraId="0C907ED7">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面议</w:t>
            </w:r>
          </w:p>
        </w:tc>
        <w:tc>
          <w:tcPr>
            <w:tcW w:w="1705" w:type="dxa"/>
            <w:vAlign w:val="center"/>
          </w:tcPr>
          <w:p w14:paraId="5E641D3C">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面议</w:t>
            </w:r>
          </w:p>
        </w:tc>
        <w:tc>
          <w:tcPr>
            <w:tcW w:w="1705" w:type="dxa"/>
            <w:vAlign w:val="center"/>
          </w:tcPr>
          <w:p w14:paraId="19A61558">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面议</w:t>
            </w:r>
          </w:p>
        </w:tc>
      </w:tr>
      <w:tr w14:paraId="038B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0543FEFD">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学科领军人才</w:t>
            </w:r>
          </w:p>
        </w:tc>
        <w:tc>
          <w:tcPr>
            <w:tcW w:w="1335" w:type="dxa"/>
            <w:vAlign w:val="center"/>
          </w:tcPr>
          <w:p w14:paraId="448BF826">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120万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2013" w:type="dxa"/>
            <w:vAlign w:val="center"/>
          </w:tcPr>
          <w:p w14:paraId="1DA88A89">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1000万</w:t>
            </w:r>
          </w:p>
        </w:tc>
        <w:tc>
          <w:tcPr>
            <w:tcW w:w="1705" w:type="dxa"/>
            <w:vAlign w:val="center"/>
          </w:tcPr>
          <w:p w14:paraId="0E216150">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160万元</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1705" w:type="dxa"/>
            <w:vAlign w:val="center"/>
          </w:tcPr>
          <w:p w14:paraId="48A08D62">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提供科研用房，办公用房</w:t>
            </w:r>
            <w:r>
              <w:rPr>
                <w:rFonts w:hint="eastAsia" w:ascii="宋体" w:hAnsi="宋体" w:eastAsia="宋体" w:cs="宋体"/>
                <w:color w:val="222222"/>
                <w:spacing w:val="8"/>
                <w:lang w:eastAsia="zh-CN"/>
              </w:rPr>
              <w:t>，</w:t>
            </w:r>
            <w:r>
              <w:rPr>
                <w:rFonts w:hint="eastAsia" w:ascii="宋体" w:hAnsi="宋体" w:eastAsia="宋体" w:cs="宋体"/>
                <w:color w:val="222222"/>
                <w:spacing w:val="8"/>
              </w:rPr>
              <w:t>配备专职人员。</w:t>
            </w:r>
          </w:p>
        </w:tc>
      </w:tr>
      <w:tr w14:paraId="76DE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435E6B61">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学科拔尖人才</w:t>
            </w:r>
          </w:p>
        </w:tc>
        <w:tc>
          <w:tcPr>
            <w:tcW w:w="1335" w:type="dxa"/>
            <w:vAlign w:val="center"/>
          </w:tcPr>
          <w:p w14:paraId="263510C0">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60万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2013" w:type="dxa"/>
            <w:vAlign w:val="center"/>
          </w:tcPr>
          <w:p w14:paraId="6929D49A">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400万</w:t>
            </w:r>
          </w:p>
        </w:tc>
        <w:tc>
          <w:tcPr>
            <w:tcW w:w="1705" w:type="dxa"/>
            <w:vAlign w:val="center"/>
          </w:tcPr>
          <w:p w14:paraId="2F84DDB8">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120万元</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1705" w:type="dxa"/>
            <w:vAlign w:val="center"/>
          </w:tcPr>
          <w:p w14:paraId="5D457E4A">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提供科研用房，办公用房</w:t>
            </w:r>
            <w:r>
              <w:rPr>
                <w:rFonts w:hint="eastAsia" w:ascii="宋体" w:hAnsi="宋体" w:eastAsia="宋体" w:cs="宋体"/>
                <w:color w:val="222222"/>
                <w:spacing w:val="8"/>
                <w:lang w:eastAsia="zh-CN"/>
              </w:rPr>
              <w:t>，</w:t>
            </w:r>
            <w:r>
              <w:rPr>
                <w:rFonts w:hint="eastAsia" w:ascii="宋体" w:hAnsi="宋体" w:eastAsia="宋体" w:cs="宋体"/>
                <w:color w:val="222222"/>
                <w:spacing w:val="8"/>
              </w:rPr>
              <w:t>配备专职人员。</w:t>
            </w:r>
          </w:p>
        </w:tc>
      </w:tr>
      <w:tr w14:paraId="7EFC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77DF54F4">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青年创新人才</w:t>
            </w:r>
          </w:p>
        </w:tc>
        <w:tc>
          <w:tcPr>
            <w:tcW w:w="1335" w:type="dxa"/>
            <w:vAlign w:val="center"/>
          </w:tcPr>
          <w:p w14:paraId="043A216C">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80万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2013" w:type="dxa"/>
            <w:vAlign w:val="center"/>
          </w:tcPr>
          <w:p w14:paraId="749E8185">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600万</w:t>
            </w:r>
          </w:p>
        </w:tc>
        <w:tc>
          <w:tcPr>
            <w:tcW w:w="1705" w:type="dxa"/>
            <w:vAlign w:val="center"/>
          </w:tcPr>
          <w:p w14:paraId="208E65A3">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140万元</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1705" w:type="dxa"/>
            <w:vAlign w:val="center"/>
          </w:tcPr>
          <w:p w14:paraId="0E5D05C9">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提供科研用房，办公用房</w:t>
            </w:r>
            <w:r>
              <w:rPr>
                <w:rFonts w:hint="eastAsia" w:ascii="宋体" w:hAnsi="宋体" w:eastAsia="宋体" w:cs="宋体"/>
                <w:color w:val="222222"/>
                <w:spacing w:val="8"/>
                <w:lang w:eastAsia="zh-CN"/>
              </w:rPr>
              <w:t>，</w:t>
            </w:r>
            <w:r>
              <w:rPr>
                <w:rFonts w:hint="eastAsia" w:ascii="宋体" w:hAnsi="宋体" w:eastAsia="宋体" w:cs="宋体"/>
                <w:color w:val="222222"/>
                <w:spacing w:val="8"/>
              </w:rPr>
              <w:t>配备专职人员。</w:t>
            </w:r>
          </w:p>
        </w:tc>
      </w:tr>
      <w:tr w14:paraId="35D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2138AE47">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青年优秀人才</w:t>
            </w:r>
          </w:p>
        </w:tc>
        <w:tc>
          <w:tcPr>
            <w:tcW w:w="1335" w:type="dxa"/>
            <w:vAlign w:val="center"/>
          </w:tcPr>
          <w:p w14:paraId="71D9D9D0">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40万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2013" w:type="dxa"/>
            <w:vAlign w:val="center"/>
          </w:tcPr>
          <w:p w14:paraId="405094C5">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300万</w:t>
            </w:r>
          </w:p>
        </w:tc>
        <w:tc>
          <w:tcPr>
            <w:tcW w:w="1705" w:type="dxa"/>
            <w:vAlign w:val="center"/>
          </w:tcPr>
          <w:p w14:paraId="05DF2500">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120万元</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1705" w:type="dxa"/>
            <w:vAlign w:val="center"/>
          </w:tcPr>
          <w:p w14:paraId="1DE6497A">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提供科研用房，办公用房</w:t>
            </w:r>
            <w:r>
              <w:rPr>
                <w:rFonts w:hint="eastAsia" w:ascii="宋体" w:hAnsi="宋体" w:eastAsia="宋体" w:cs="宋体"/>
                <w:color w:val="222222"/>
                <w:spacing w:val="8"/>
                <w:lang w:eastAsia="zh-CN"/>
              </w:rPr>
              <w:t>，</w:t>
            </w:r>
            <w:r>
              <w:rPr>
                <w:rFonts w:hint="eastAsia" w:ascii="宋体" w:hAnsi="宋体" w:eastAsia="宋体" w:cs="宋体"/>
                <w:color w:val="222222"/>
                <w:spacing w:val="8"/>
              </w:rPr>
              <w:t>配备专职人员。</w:t>
            </w:r>
          </w:p>
        </w:tc>
      </w:tr>
    </w:tbl>
    <w:p w14:paraId="34A82735">
      <w:pPr>
        <w:pStyle w:val="3"/>
        <w:widowControl/>
        <w:shd w:val="clear" w:color="auto" w:fill="FFFFFF"/>
        <w:spacing w:beforeAutospacing="0" w:afterAutospacing="0"/>
        <w:jc w:val="center"/>
        <w:rPr>
          <w:rFonts w:ascii="宋体" w:hAnsi="宋体" w:eastAsia="宋体" w:cs="宋体"/>
          <w:color w:val="222222"/>
          <w:spacing w:val="8"/>
        </w:rPr>
      </w:pPr>
    </w:p>
    <w:p w14:paraId="27B50EB2">
      <w:pPr>
        <w:pStyle w:val="3"/>
        <w:widowControl/>
        <w:shd w:val="clear" w:color="auto" w:fill="FFFFFF"/>
        <w:spacing w:beforeAutospacing="0" w:afterAutospacing="0"/>
        <w:jc w:val="right"/>
        <w:rPr>
          <w:rFonts w:ascii="Microsoft YaHei UI" w:hAnsi="Microsoft YaHei UI" w:eastAsia="Microsoft YaHei UI" w:cs="Microsoft YaHei UI"/>
          <w:color w:val="222222"/>
          <w:spacing w:val="8"/>
          <w:sz w:val="25"/>
          <w:szCs w:val="25"/>
        </w:rPr>
      </w:pPr>
      <w:r>
        <w:rPr>
          <w:rFonts w:hint="eastAsia" w:ascii="Microsoft YaHei UI" w:hAnsi="Microsoft YaHei UI" w:eastAsia="Microsoft YaHei UI" w:cs="Microsoft YaHei UI"/>
          <w:color w:val="888888"/>
          <w:spacing w:val="8"/>
          <w:sz w:val="21"/>
          <w:szCs w:val="21"/>
          <w:shd w:val="clear" w:color="auto" w:fill="FFFFFF"/>
        </w:rPr>
        <w:t>（单位：元，人民币）</w:t>
      </w:r>
    </w:p>
    <w:p w14:paraId="2073A84C">
      <w:pPr>
        <w:widowControl/>
        <w:jc w:val="left"/>
        <w:rPr>
          <w:rStyle w:val="7"/>
          <w:rFonts w:ascii="宋体" w:hAnsi="宋体" w:eastAsia="宋体" w:cs="宋体"/>
          <w:color w:val="395EC1"/>
          <w:kern w:val="0"/>
          <w:sz w:val="24"/>
        </w:rPr>
      </w:pPr>
      <w:r>
        <w:rPr>
          <w:rStyle w:val="7"/>
          <w:rFonts w:ascii="宋体" w:hAnsi="宋体" w:eastAsia="宋体" w:cs="宋体"/>
          <w:kern w:val="0"/>
          <w:sz w:val="22"/>
          <w:szCs w:val="22"/>
        </w:rPr>
        <w:t>备注:</w:t>
      </w:r>
      <w:r>
        <w:rPr>
          <w:rFonts w:ascii="宋体" w:hAnsi="宋体" w:eastAsia="宋体" w:cs="宋体"/>
          <w:kern w:val="0"/>
          <w:sz w:val="22"/>
          <w:szCs w:val="22"/>
        </w:rPr>
        <w:t>1.个人待遇及资助：被聘任到学校本部及附属医院的全职高层次人才，除享受国家为其提供的待遇以外，在校工作期间，南华大学提供以下待遇：获得的科研成果按学校科研奖励办法给予奖励；来校工作后享受医疗保健、配偶根据条件优先安置、协助安排子女入学；优先支持申报各类人才项目；在资源配置、团队和平台建设、国际合作与交流、研究生招生等方面提供优先支持。如有其它方面的要求，可以一事一议。2.团队待遇及资助：鼓励全职引进科技创新团队，待遇及资助一事一议。</w:t>
      </w:r>
    </w:p>
    <w:p w14:paraId="4A7346DD">
      <w:pPr>
        <w:widowControl/>
        <w:jc w:val="left"/>
        <w:rPr>
          <w:rStyle w:val="7"/>
          <w:rFonts w:ascii="宋体" w:hAnsi="宋体" w:eastAsia="宋体" w:cs="宋体"/>
          <w:color w:val="395EC1"/>
          <w:kern w:val="0"/>
          <w:sz w:val="24"/>
        </w:rPr>
      </w:pPr>
    </w:p>
    <w:p w14:paraId="1F2E0514">
      <w:pPr>
        <w:widowControl/>
        <w:jc w:val="left"/>
        <w:rPr>
          <w:rStyle w:val="7"/>
          <w:rFonts w:ascii="宋体" w:hAnsi="宋体" w:eastAsia="宋体" w:cs="宋体"/>
          <w:color w:val="395EC1"/>
          <w:kern w:val="0"/>
          <w:sz w:val="24"/>
        </w:rPr>
      </w:pPr>
    </w:p>
    <w:p w14:paraId="6B4D2020">
      <w:pPr>
        <w:widowControl/>
        <w:jc w:val="left"/>
      </w:pPr>
      <w:r>
        <w:rPr>
          <w:rStyle w:val="7"/>
          <w:rFonts w:ascii="宋体" w:hAnsi="宋体" w:eastAsia="宋体" w:cs="宋体"/>
          <w:color w:val="395EC1"/>
          <w:kern w:val="0"/>
          <w:sz w:val="24"/>
        </w:rPr>
        <w:t>2.师资博士后</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839"/>
        <w:gridCol w:w="1704"/>
        <w:gridCol w:w="1705"/>
        <w:gridCol w:w="1705"/>
      </w:tblGrid>
      <w:tr w14:paraId="5822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vAlign w:val="top"/>
          </w:tcPr>
          <w:p w14:paraId="4E604226">
            <w:pPr>
              <w:pStyle w:val="3"/>
              <w:widowControl/>
              <w:spacing w:beforeAutospacing="0" w:afterAutospacing="0"/>
              <w:jc w:val="center"/>
              <w:rPr>
                <w:rFonts w:ascii="Microsoft YaHei UI" w:hAnsi="Microsoft YaHei UI" w:eastAsia="Microsoft YaHei UI" w:cs="Microsoft YaHei UI"/>
                <w:color w:val="222222"/>
                <w:spacing w:val="8"/>
                <w:sz w:val="25"/>
                <w:szCs w:val="25"/>
              </w:rPr>
            </w:pPr>
            <w:r>
              <w:rPr>
                <w:rStyle w:val="7"/>
                <w:rFonts w:hint="eastAsia" w:ascii="宋体" w:hAnsi="宋体" w:eastAsia="宋体" w:cs="宋体"/>
                <w:color w:val="395EC1"/>
              </w:rPr>
              <w:t>人才层次</w:t>
            </w:r>
          </w:p>
        </w:tc>
        <w:tc>
          <w:tcPr>
            <w:tcW w:w="1704" w:type="dxa"/>
            <w:vAlign w:val="top"/>
          </w:tcPr>
          <w:p w14:paraId="151B702D">
            <w:pPr>
              <w:widowControl/>
              <w:jc w:val="center"/>
              <w:rPr>
                <w:rFonts w:ascii="宋体" w:hAnsi="宋体" w:eastAsia="宋体" w:cs="宋体"/>
                <w:b/>
                <w:color w:val="395EC1"/>
                <w:kern w:val="0"/>
                <w:sz w:val="24"/>
              </w:rPr>
            </w:pPr>
            <w:r>
              <w:rPr>
                <w:rStyle w:val="7"/>
                <w:rFonts w:hint="eastAsia" w:ascii="宋体" w:hAnsi="宋体" w:eastAsia="宋体" w:cs="宋体"/>
                <w:color w:val="395EC1"/>
                <w:kern w:val="0"/>
                <w:sz w:val="24"/>
              </w:rPr>
              <w:t>I类博士</w:t>
            </w:r>
          </w:p>
        </w:tc>
        <w:tc>
          <w:tcPr>
            <w:tcW w:w="1705" w:type="dxa"/>
            <w:vAlign w:val="top"/>
          </w:tcPr>
          <w:p w14:paraId="4149D32A">
            <w:pPr>
              <w:widowControl/>
              <w:jc w:val="center"/>
              <w:rPr>
                <w:rFonts w:ascii="宋体" w:hAnsi="宋体" w:eastAsia="宋体" w:cs="宋体"/>
                <w:b/>
                <w:color w:val="395EC1"/>
                <w:kern w:val="0"/>
                <w:sz w:val="24"/>
              </w:rPr>
            </w:pPr>
            <w:r>
              <w:rPr>
                <w:rStyle w:val="7"/>
                <w:rFonts w:hint="eastAsia" w:ascii="宋体" w:hAnsi="宋体" w:eastAsia="宋体" w:cs="宋体"/>
                <w:color w:val="395EC1"/>
                <w:kern w:val="0"/>
                <w:sz w:val="24"/>
              </w:rPr>
              <w:t>II类博士</w:t>
            </w:r>
          </w:p>
        </w:tc>
        <w:tc>
          <w:tcPr>
            <w:tcW w:w="1705" w:type="dxa"/>
            <w:vAlign w:val="top"/>
          </w:tcPr>
          <w:p w14:paraId="27AF0F82">
            <w:pPr>
              <w:widowControl/>
              <w:jc w:val="center"/>
              <w:rPr>
                <w:rFonts w:ascii="宋体" w:hAnsi="宋体" w:eastAsia="宋体" w:cs="宋体"/>
                <w:b/>
                <w:color w:val="395EC1"/>
                <w:kern w:val="0"/>
                <w:sz w:val="24"/>
              </w:rPr>
            </w:pPr>
            <w:r>
              <w:rPr>
                <w:rStyle w:val="7"/>
                <w:rFonts w:hint="eastAsia" w:ascii="宋体" w:hAnsi="宋体" w:eastAsia="宋体" w:cs="宋体"/>
                <w:color w:val="395EC1"/>
                <w:kern w:val="0"/>
                <w:sz w:val="24"/>
              </w:rPr>
              <w:t>III类博士</w:t>
            </w:r>
          </w:p>
        </w:tc>
      </w:tr>
      <w:tr w14:paraId="623D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vAlign w:val="center"/>
          </w:tcPr>
          <w:p w14:paraId="615F4B15">
            <w:pPr>
              <w:pStyle w:val="3"/>
              <w:widowControl/>
              <w:spacing w:beforeAutospacing="0" w:afterAutospacing="0"/>
              <w:jc w:val="center"/>
              <w:rPr>
                <w:rFonts w:ascii="宋体" w:hAnsi="宋体" w:eastAsia="宋体" w:cs="宋体"/>
                <w:color w:val="222222"/>
                <w:spacing w:val="8"/>
              </w:rPr>
            </w:pPr>
            <w:r>
              <w:rPr>
                <w:rStyle w:val="7"/>
                <w:rFonts w:hint="eastAsia" w:ascii="宋体" w:hAnsi="宋体" w:eastAsia="宋体" w:cs="宋体"/>
                <w:b w:val="0"/>
                <w:bCs/>
              </w:rPr>
              <w:t>引进待遇</w:t>
            </w:r>
          </w:p>
        </w:tc>
        <w:tc>
          <w:tcPr>
            <w:tcW w:w="1839" w:type="dxa"/>
            <w:vAlign w:val="center"/>
          </w:tcPr>
          <w:p w14:paraId="2081EB06">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年薪</w:t>
            </w:r>
          </w:p>
        </w:tc>
        <w:tc>
          <w:tcPr>
            <w:tcW w:w="1704" w:type="dxa"/>
            <w:vAlign w:val="center"/>
          </w:tcPr>
          <w:p w14:paraId="6488926D">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35万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1705" w:type="dxa"/>
            <w:vAlign w:val="center"/>
          </w:tcPr>
          <w:p w14:paraId="5316868B">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30万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1705" w:type="dxa"/>
            <w:vAlign w:val="center"/>
          </w:tcPr>
          <w:p w14:paraId="7AF68E7C">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25万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r>
      <w:tr w14:paraId="51B9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vAlign w:val="center"/>
          </w:tcPr>
          <w:p w14:paraId="338A28E4">
            <w:pPr>
              <w:pStyle w:val="3"/>
              <w:widowControl/>
              <w:spacing w:beforeAutospacing="0" w:afterAutospacing="0"/>
              <w:jc w:val="center"/>
              <w:rPr>
                <w:rFonts w:ascii="宋体" w:hAnsi="宋体" w:eastAsia="宋体" w:cs="宋体"/>
                <w:color w:val="222222"/>
                <w:spacing w:val="8"/>
              </w:rPr>
            </w:pPr>
          </w:p>
        </w:tc>
        <w:tc>
          <w:tcPr>
            <w:tcW w:w="1839" w:type="dxa"/>
            <w:vAlign w:val="center"/>
          </w:tcPr>
          <w:p w14:paraId="386F5FF9">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科研启动经费</w:t>
            </w:r>
          </w:p>
        </w:tc>
        <w:tc>
          <w:tcPr>
            <w:tcW w:w="1704" w:type="dxa"/>
            <w:vAlign w:val="center"/>
          </w:tcPr>
          <w:p w14:paraId="5A90FABA">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20万</w:t>
            </w:r>
          </w:p>
        </w:tc>
        <w:tc>
          <w:tcPr>
            <w:tcW w:w="1705" w:type="dxa"/>
            <w:vAlign w:val="center"/>
          </w:tcPr>
          <w:p w14:paraId="5398A7E3">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15万</w:t>
            </w:r>
          </w:p>
        </w:tc>
        <w:tc>
          <w:tcPr>
            <w:tcW w:w="1705" w:type="dxa"/>
            <w:vAlign w:val="center"/>
          </w:tcPr>
          <w:p w14:paraId="2760DB40">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10万</w:t>
            </w:r>
          </w:p>
        </w:tc>
      </w:tr>
      <w:tr w14:paraId="643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vAlign w:val="top"/>
          </w:tcPr>
          <w:p w14:paraId="4576524F">
            <w:pPr>
              <w:pStyle w:val="3"/>
              <w:widowControl/>
              <w:spacing w:beforeAutospacing="0" w:afterAutospacing="0"/>
              <w:jc w:val="center"/>
              <w:rPr>
                <w:rFonts w:ascii="宋体" w:hAnsi="宋体" w:eastAsia="宋体" w:cs="宋体"/>
                <w:color w:val="222222"/>
                <w:spacing w:val="8"/>
              </w:rPr>
            </w:pPr>
          </w:p>
        </w:tc>
        <w:tc>
          <w:tcPr>
            <w:tcW w:w="1839" w:type="dxa"/>
            <w:vAlign w:val="top"/>
          </w:tcPr>
          <w:p w14:paraId="57E54DF8">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住房补贴或安家费</w:t>
            </w:r>
          </w:p>
        </w:tc>
        <w:tc>
          <w:tcPr>
            <w:tcW w:w="1704" w:type="dxa"/>
            <w:vAlign w:val="center"/>
          </w:tcPr>
          <w:p w14:paraId="087204C7">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1000/月</w:t>
            </w:r>
          </w:p>
        </w:tc>
        <w:tc>
          <w:tcPr>
            <w:tcW w:w="1705" w:type="dxa"/>
            <w:vAlign w:val="center"/>
          </w:tcPr>
          <w:p w14:paraId="6AE0C1CF">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1000/月</w:t>
            </w:r>
          </w:p>
        </w:tc>
        <w:tc>
          <w:tcPr>
            <w:tcW w:w="1705" w:type="dxa"/>
            <w:vAlign w:val="center"/>
          </w:tcPr>
          <w:p w14:paraId="5A1D06A9">
            <w:pPr>
              <w:pStyle w:val="3"/>
              <w:widowControl/>
              <w:spacing w:beforeAutospacing="0" w:afterAutospacing="0"/>
              <w:jc w:val="center"/>
              <w:rPr>
                <w:rFonts w:ascii="宋体" w:hAnsi="宋体" w:eastAsia="宋体" w:cs="宋体"/>
                <w:color w:val="222222"/>
                <w:spacing w:val="8"/>
              </w:rPr>
            </w:pPr>
            <w:r>
              <w:rPr>
                <w:rFonts w:hint="eastAsia" w:ascii="宋体" w:hAnsi="宋体" w:eastAsia="宋体" w:cs="宋体"/>
                <w:color w:val="222222"/>
                <w:spacing w:val="8"/>
              </w:rPr>
              <w:t>1000/月</w:t>
            </w:r>
          </w:p>
        </w:tc>
      </w:tr>
    </w:tbl>
    <w:p w14:paraId="7C1E7D1A">
      <w:pPr>
        <w:pStyle w:val="3"/>
        <w:widowControl/>
        <w:shd w:val="clear" w:color="auto" w:fill="FFFFFF"/>
        <w:spacing w:beforeAutospacing="0" w:afterAutospacing="0"/>
        <w:jc w:val="center"/>
        <w:rPr>
          <w:rFonts w:ascii="Microsoft YaHei UI" w:hAnsi="Microsoft YaHei UI" w:eastAsia="Microsoft YaHei UI" w:cs="Microsoft YaHei UI"/>
          <w:color w:val="222222"/>
          <w:spacing w:val="8"/>
          <w:sz w:val="25"/>
          <w:szCs w:val="25"/>
        </w:rPr>
      </w:pPr>
    </w:p>
    <w:p w14:paraId="3F00DC5F">
      <w:pPr>
        <w:pStyle w:val="3"/>
        <w:widowControl/>
        <w:shd w:val="clear" w:color="auto" w:fill="FFFFFF"/>
        <w:spacing w:beforeAutospacing="0" w:afterAutospacing="0"/>
        <w:jc w:val="right"/>
        <w:rPr>
          <w:rFonts w:ascii="Microsoft YaHei UI" w:hAnsi="Microsoft YaHei UI" w:eastAsia="Microsoft YaHei UI" w:cs="Microsoft YaHei UI"/>
          <w:color w:val="222222"/>
          <w:spacing w:val="8"/>
          <w:sz w:val="25"/>
          <w:szCs w:val="25"/>
        </w:rPr>
      </w:pPr>
      <w:r>
        <w:rPr>
          <w:rFonts w:hint="eastAsia" w:ascii="Microsoft YaHei UI" w:hAnsi="Microsoft YaHei UI" w:eastAsia="Microsoft YaHei UI" w:cs="Microsoft YaHei UI"/>
          <w:color w:val="888888"/>
          <w:spacing w:val="8"/>
          <w:sz w:val="21"/>
          <w:szCs w:val="21"/>
          <w:shd w:val="clear" w:color="auto" w:fill="FFFFFF"/>
        </w:rPr>
        <w:t>（单位：元，人民币）</w:t>
      </w:r>
    </w:p>
    <w:p w14:paraId="28428346">
      <w:pPr>
        <w:widowControl/>
        <w:jc w:val="left"/>
        <w:rPr>
          <w:rFonts w:hint="eastAsia" w:ascii="宋体" w:hAnsi="宋体" w:eastAsia="宋体" w:cs="宋体"/>
          <w:kern w:val="0"/>
          <w:sz w:val="22"/>
          <w:szCs w:val="22"/>
        </w:rPr>
      </w:pPr>
      <w:r>
        <w:rPr>
          <w:rStyle w:val="7"/>
          <w:rFonts w:ascii="宋体" w:hAnsi="宋体" w:eastAsia="宋体" w:cs="宋体"/>
          <w:kern w:val="0"/>
          <w:sz w:val="22"/>
          <w:szCs w:val="22"/>
        </w:rPr>
        <w:t>备注：</w:t>
      </w:r>
      <w:r>
        <w:rPr>
          <w:rFonts w:ascii="宋体" w:hAnsi="宋体" w:eastAsia="宋体" w:cs="宋体"/>
          <w:kern w:val="0"/>
          <w:sz w:val="22"/>
          <w:szCs w:val="22"/>
        </w:rPr>
        <w:t>1.在站期间可以申请参加学校职称评审；2.合格出站后进入学校编制内教师队伍，可享受进站当年的人才引进政策；3.</w:t>
      </w:r>
      <w:r>
        <w:rPr>
          <w:rFonts w:hint="eastAsia" w:ascii="宋体" w:hAnsi="宋体" w:eastAsia="宋体" w:cs="宋体"/>
          <w:kern w:val="0"/>
          <w:sz w:val="22"/>
          <w:szCs w:val="22"/>
        </w:rPr>
        <w:t>全职博士后按其在站实际工作时间，每人每月可申请享受2000元生活补贴，连续补贴2年；出站后留衡工作的，视同为引进博士享受相关待遇”等规定。</w:t>
      </w:r>
    </w:p>
    <w:p w14:paraId="673945B1">
      <w:pPr>
        <w:widowControl/>
        <w:jc w:val="left"/>
        <w:rPr>
          <w:rFonts w:ascii="宋体" w:hAnsi="宋体" w:eastAsia="宋体" w:cs="宋体"/>
          <w:kern w:val="0"/>
          <w:sz w:val="22"/>
          <w:szCs w:val="22"/>
        </w:rPr>
      </w:pPr>
    </w:p>
    <w:p w14:paraId="0D57B448">
      <w:pPr>
        <w:widowControl/>
        <w:jc w:val="left"/>
        <w:rPr>
          <w:rFonts w:ascii="宋体" w:hAnsi="宋体" w:eastAsia="宋体" w:cs="宋体"/>
          <w:kern w:val="0"/>
          <w:sz w:val="22"/>
          <w:szCs w:val="22"/>
        </w:rPr>
      </w:pPr>
    </w:p>
    <w:p w14:paraId="75BAAC90">
      <w:pPr>
        <w:widowControl/>
        <w:jc w:val="left"/>
        <w:rPr>
          <w:rFonts w:ascii="宋体" w:hAnsi="宋体" w:eastAsia="宋体" w:cs="宋体"/>
          <w:kern w:val="0"/>
          <w:sz w:val="22"/>
          <w:szCs w:val="22"/>
        </w:rPr>
      </w:pPr>
    </w:p>
    <w:p w14:paraId="6CB9DDDB">
      <w:pPr>
        <w:widowControl/>
        <w:numPr>
          <w:ilvl w:val="0"/>
          <w:numId w:val="1"/>
        </w:numPr>
        <w:jc w:val="left"/>
        <w:rPr>
          <w:rStyle w:val="7"/>
          <w:rFonts w:ascii="宋体" w:hAnsi="宋体" w:eastAsia="宋体" w:cs="宋体"/>
          <w:color w:val="395EC1"/>
          <w:kern w:val="0"/>
          <w:sz w:val="24"/>
        </w:rPr>
      </w:pPr>
      <w:r>
        <w:rPr>
          <w:rStyle w:val="7"/>
          <w:rFonts w:ascii="宋体" w:hAnsi="宋体" w:eastAsia="宋体" w:cs="宋体"/>
          <w:color w:val="395EC1"/>
          <w:kern w:val="0"/>
          <w:sz w:val="24"/>
        </w:rPr>
        <w:t>优秀博士</w:t>
      </w:r>
    </w:p>
    <w:tbl>
      <w:tblPr>
        <w:tblStyle w:val="5"/>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305"/>
        <w:gridCol w:w="2625"/>
        <w:gridCol w:w="2115"/>
        <w:gridCol w:w="2295"/>
      </w:tblGrid>
      <w:tr w14:paraId="1F0C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4" w:type="dxa"/>
            <w:gridSpan w:val="2"/>
            <w:vAlign w:val="top"/>
          </w:tcPr>
          <w:p w14:paraId="3D9C9AFC">
            <w:pPr>
              <w:widowControl/>
              <w:jc w:val="center"/>
              <w:rPr>
                <w:rStyle w:val="7"/>
                <w:rFonts w:ascii="宋体" w:hAnsi="宋体" w:eastAsia="宋体" w:cs="宋体"/>
                <w:color w:val="395EC1"/>
                <w:kern w:val="0"/>
                <w:sz w:val="24"/>
              </w:rPr>
            </w:pPr>
            <w:r>
              <w:rPr>
                <w:rStyle w:val="7"/>
                <w:rFonts w:hint="eastAsia" w:ascii="宋体" w:hAnsi="宋体" w:eastAsia="宋体" w:cs="宋体"/>
                <w:color w:val="395EC1"/>
                <w:kern w:val="0"/>
                <w:sz w:val="24"/>
              </w:rPr>
              <w:t>人才层次</w:t>
            </w:r>
          </w:p>
        </w:tc>
        <w:tc>
          <w:tcPr>
            <w:tcW w:w="2625" w:type="dxa"/>
            <w:vAlign w:val="top"/>
          </w:tcPr>
          <w:p w14:paraId="4D3AA46B">
            <w:pPr>
              <w:widowControl/>
              <w:jc w:val="center"/>
              <w:rPr>
                <w:rFonts w:ascii="宋体" w:hAnsi="宋体" w:eastAsia="宋体" w:cs="宋体"/>
                <w:b/>
                <w:color w:val="395EC1"/>
                <w:kern w:val="0"/>
                <w:sz w:val="24"/>
              </w:rPr>
            </w:pPr>
            <w:r>
              <w:rPr>
                <w:rStyle w:val="7"/>
                <w:rFonts w:hint="eastAsia" w:ascii="宋体" w:hAnsi="宋体" w:eastAsia="宋体" w:cs="宋体"/>
                <w:color w:val="395EC1"/>
                <w:kern w:val="0"/>
                <w:sz w:val="24"/>
              </w:rPr>
              <w:t>I类博士</w:t>
            </w:r>
          </w:p>
        </w:tc>
        <w:tc>
          <w:tcPr>
            <w:tcW w:w="2115" w:type="dxa"/>
            <w:vAlign w:val="top"/>
          </w:tcPr>
          <w:p w14:paraId="54947254">
            <w:pPr>
              <w:widowControl/>
              <w:jc w:val="center"/>
              <w:rPr>
                <w:rFonts w:ascii="宋体" w:hAnsi="宋体" w:eastAsia="宋体" w:cs="宋体"/>
                <w:b/>
                <w:color w:val="395EC1"/>
                <w:kern w:val="0"/>
                <w:sz w:val="24"/>
              </w:rPr>
            </w:pPr>
            <w:r>
              <w:rPr>
                <w:rStyle w:val="7"/>
                <w:rFonts w:hint="eastAsia" w:ascii="宋体" w:hAnsi="宋体" w:eastAsia="宋体" w:cs="宋体"/>
                <w:color w:val="395EC1"/>
                <w:kern w:val="0"/>
                <w:sz w:val="24"/>
              </w:rPr>
              <w:t>II类博士</w:t>
            </w:r>
          </w:p>
        </w:tc>
        <w:tc>
          <w:tcPr>
            <w:tcW w:w="2295" w:type="dxa"/>
            <w:vAlign w:val="top"/>
          </w:tcPr>
          <w:p w14:paraId="5C64A784">
            <w:pPr>
              <w:widowControl/>
              <w:jc w:val="center"/>
              <w:rPr>
                <w:rFonts w:ascii="宋体" w:hAnsi="宋体" w:eastAsia="宋体" w:cs="宋体"/>
                <w:b/>
                <w:color w:val="395EC1"/>
                <w:kern w:val="0"/>
                <w:sz w:val="24"/>
              </w:rPr>
            </w:pPr>
            <w:r>
              <w:rPr>
                <w:rStyle w:val="7"/>
                <w:rFonts w:hint="eastAsia" w:ascii="宋体" w:hAnsi="宋体" w:eastAsia="宋体" w:cs="宋体"/>
                <w:color w:val="395EC1"/>
                <w:kern w:val="0"/>
                <w:sz w:val="24"/>
              </w:rPr>
              <w:t>III类博士</w:t>
            </w:r>
          </w:p>
        </w:tc>
      </w:tr>
      <w:tr w14:paraId="2EB1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restart"/>
            <w:vAlign w:val="center"/>
          </w:tcPr>
          <w:p w14:paraId="7F79DC82">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引进待遇</w:t>
            </w:r>
          </w:p>
        </w:tc>
        <w:tc>
          <w:tcPr>
            <w:tcW w:w="1305" w:type="dxa"/>
            <w:vAlign w:val="center"/>
          </w:tcPr>
          <w:p w14:paraId="14976352">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安家费</w:t>
            </w:r>
          </w:p>
        </w:tc>
        <w:tc>
          <w:tcPr>
            <w:tcW w:w="2625" w:type="dxa"/>
            <w:vAlign w:val="center"/>
          </w:tcPr>
          <w:p w14:paraId="59F192BD">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60万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2115" w:type="dxa"/>
            <w:vAlign w:val="center"/>
          </w:tcPr>
          <w:p w14:paraId="5AFE6380">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50万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c>
          <w:tcPr>
            <w:tcW w:w="2295" w:type="dxa"/>
            <w:vAlign w:val="center"/>
          </w:tcPr>
          <w:p w14:paraId="4463AA63">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40万</w:t>
            </w:r>
            <w:r>
              <w:rPr>
                <w:rFonts w:hint="eastAsia" w:ascii="宋体" w:hAnsi="宋体" w:eastAsia="宋体" w:cs="宋体"/>
                <w:color w:val="222222"/>
                <w:spacing w:val="8"/>
                <w:lang w:val="en-US" w:eastAsia="zh-CN"/>
              </w:rPr>
              <w:t>(</w:t>
            </w:r>
            <w:r>
              <w:rPr>
                <w:rFonts w:hint="eastAsia" w:ascii="宋体" w:hAnsi="宋体" w:eastAsia="宋体" w:cs="宋体"/>
                <w:color w:val="222222"/>
                <w:spacing w:val="8"/>
              </w:rPr>
              <w:t>税前)</w:t>
            </w:r>
          </w:p>
        </w:tc>
      </w:tr>
      <w:tr w14:paraId="06E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vAlign w:val="center"/>
          </w:tcPr>
          <w:p w14:paraId="56C5F16A">
            <w:pPr>
              <w:widowControl/>
              <w:jc w:val="center"/>
              <w:rPr>
                <w:rStyle w:val="7"/>
                <w:rFonts w:ascii="宋体" w:hAnsi="宋体" w:eastAsia="宋体" w:cs="宋体"/>
                <w:b w:val="0"/>
                <w:bCs/>
                <w:kern w:val="0"/>
                <w:sz w:val="24"/>
              </w:rPr>
            </w:pPr>
          </w:p>
        </w:tc>
        <w:tc>
          <w:tcPr>
            <w:tcW w:w="1305" w:type="dxa"/>
            <w:vAlign w:val="center"/>
          </w:tcPr>
          <w:p w14:paraId="359775C1">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科研启动经费</w:t>
            </w:r>
          </w:p>
        </w:tc>
        <w:tc>
          <w:tcPr>
            <w:tcW w:w="2625" w:type="dxa"/>
            <w:vAlign w:val="center"/>
          </w:tcPr>
          <w:p w14:paraId="4F20658D">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30万</w:t>
            </w:r>
          </w:p>
        </w:tc>
        <w:tc>
          <w:tcPr>
            <w:tcW w:w="2115" w:type="dxa"/>
            <w:vAlign w:val="center"/>
          </w:tcPr>
          <w:p w14:paraId="1847CCBE">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20万</w:t>
            </w:r>
          </w:p>
        </w:tc>
        <w:tc>
          <w:tcPr>
            <w:tcW w:w="2295" w:type="dxa"/>
            <w:vAlign w:val="center"/>
          </w:tcPr>
          <w:p w14:paraId="6D34BA7A">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10万</w:t>
            </w:r>
          </w:p>
        </w:tc>
      </w:tr>
      <w:tr w14:paraId="5130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Merge w:val="continue"/>
            <w:vAlign w:val="center"/>
          </w:tcPr>
          <w:p w14:paraId="15805484">
            <w:pPr>
              <w:widowControl/>
              <w:jc w:val="center"/>
              <w:rPr>
                <w:rStyle w:val="7"/>
                <w:rFonts w:ascii="宋体" w:hAnsi="宋体" w:eastAsia="宋体" w:cs="宋体"/>
                <w:b w:val="0"/>
                <w:bCs/>
                <w:kern w:val="0"/>
                <w:sz w:val="24"/>
              </w:rPr>
            </w:pPr>
          </w:p>
        </w:tc>
        <w:tc>
          <w:tcPr>
            <w:tcW w:w="1305" w:type="dxa"/>
            <w:vAlign w:val="center"/>
          </w:tcPr>
          <w:p w14:paraId="29ABE6E6">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小计</w:t>
            </w:r>
          </w:p>
        </w:tc>
        <w:tc>
          <w:tcPr>
            <w:tcW w:w="2625" w:type="dxa"/>
            <w:vAlign w:val="center"/>
          </w:tcPr>
          <w:p w14:paraId="6AE62374">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90万</w:t>
            </w:r>
          </w:p>
        </w:tc>
        <w:tc>
          <w:tcPr>
            <w:tcW w:w="2115" w:type="dxa"/>
            <w:vAlign w:val="center"/>
          </w:tcPr>
          <w:p w14:paraId="7AB308E0">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70万</w:t>
            </w:r>
          </w:p>
        </w:tc>
        <w:tc>
          <w:tcPr>
            <w:tcW w:w="2295" w:type="dxa"/>
            <w:vAlign w:val="center"/>
          </w:tcPr>
          <w:p w14:paraId="002863CE">
            <w:pPr>
              <w:widowControl/>
              <w:jc w:val="center"/>
              <w:rPr>
                <w:rStyle w:val="7"/>
                <w:rFonts w:ascii="宋体" w:hAnsi="宋体" w:eastAsia="宋体" w:cs="宋体"/>
                <w:b w:val="0"/>
                <w:bCs/>
                <w:kern w:val="0"/>
                <w:sz w:val="24"/>
              </w:rPr>
            </w:pPr>
            <w:r>
              <w:rPr>
                <w:rStyle w:val="7"/>
                <w:rFonts w:hint="eastAsia" w:ascii="宋体" w:hAnsi="宋体" w:eastAsia="宋体" w:cs="宋体"/>
                <w:b w:val="0"/>
                <w:bCs/>
                <w:kern w:val="0"/>
                <w:sz w:val="24"/>
              </w:rPr>
              <w:t xml:space="preserve">50万 </w:t>
            </w:r>
          </w:p>
        </w:tc>
      </w:tr>
    </w:tbl>
    <w:p w14:paraId="46823913">
      <w:pPr>
        <w:widowControl/>
        <w:jc w:val="left"/>
        <w:rPr>
          <w:rStyle w:val="7"/>
          <w:rFonts w:ascii="宋体" w:hAnsi="宋体" w:eastAsia="宋体" w:cs="宋体"/>
          <w:color w:val="395EC1"/>
          <w:kern w:val="0"/>
          <w:sz w:val="24"/>
        </w:rPr>
      </w:pPr>
    </w:p>
    <w:p w14:paraId="560E7038">
      <w:pPr>
        <w:widowControl/>
        <w:ind w:firstLine="6510" w:firstLineChars="3100"/>
        <w:jc w:val="left"/>
        <w:rPr>
          <w:rFonts w:ascii="宋体" w:hAnsi="宋体" w:eastAsia="宋体" w:cs="宋体"/>
          <w:color w:val="888888"/>
          <w:kern w:val="0"/>
          <w:szCs w:val="21"/>
        </w:rPr>
      </w:pPr>
      <w:r>
        <w:rPr>
          <w:rFonts w:ascii="宋体" w:hAnsi="宋体" w:eastAsia="宋体" w:cs="宋体"/>
          <w:color w:val="888888"/>
          <w:kern w:val="0"/>
          <w:szCs w:val="21"/>
        </w:rPr>
        <w:t>（单位：元，人民币）</w:t>
      </w:r>
    </w:p>
    <w:p w14:paraId="0CBB3EE3">
      <w:pPr>
        <w:widowControl/>
        <w:jc w:val="left"/>
      </w:pPr>
      <w:r>
        <w:rPr>
          <w:rStyle w:val="7"/>
          <w:rFonts w:ascii="宋体" w:hAnsi="宋体" w:eastAsia="宋体" w:cs="宋体"/>
          <w:kern w:val="0"/>
          <w:sz w:val="22"/>
          <w:szCs w:val="22"/>
        </w:rPr>
        <w:t>备注：</w:t>
      </w:r>
      <w:r>
        <w:rPr>
          <w:rFonts w:ascii="宋体" w:hAnsi="宋体" w:eastAsia="宋体" w:cs="宋体"/>
          <w:kern w:val="0"/>
          <w:sz w:val="22"/>
          <w:szCs w:val="22"/>
        </w:rPr>
        <w:t>1.I类博士配偶具有全日制本科以上学历或硕士以上学位，学校以人事代理形式安排工作；2.II类博士配偶有硕士及以上学位，学校以人事代理形式安排工作；3.</w:t>
      </w:r>
      <w:r>
        <w:rPr>
          <w:rFonts w:hint="eastAsia" w:ascii="宋体" w:hAnsi="宋体" w:eastAsia="宋体" w:cs="宋体"/>
          <w:kern w:val="0"/>
          <w:sz w:val="22"/>
          <w:szCs w:val="22"/>
          <w:lang w:val="en-US" w:eastAsia="zh-CN"/>
        </w:rPr>
        <w:t>可申请享受</w:t>
      </w:r>
      <w:r>
        <w:rPr>
          <w:rFonts w:ascii="宋体" w:hAnsi="宋体" w:eastAsia="宋体" w:cs="宋体"/>
          <w:kern w:val="0"/>
          <w:sz w:val="22"/>
          <w:szCs w:val="22"/>
        </w:rPr>
        <w:t>衡阳市政府当年引才福利待遇(共计24.4万元，其中，生活补贴14.4万元和购房补贴10万元)。</w:t>
      </w:r>
    </w:p>
    <w:p w14:paraId="6361FAE6">
      <w:pPr>
        <w:widowControl/>
        <w:jc w:val="center"/>
        <w:rPr>
          <w:rStyle w:val="7"/>
          <w:rFonts w:hint="default"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0"/>
          <w:sz w:val="28"/>
          <w:szCs w:val="28"/>
          <w:lang w:val="en-US" w:eastAsia="zh-CN" w:bidi="ar-SA"/>
        </w:rPr>
        <w:t>联系方式</w:t>
      </w:r>
    </w:p>
    <w:p w14:paraId="41F48DDF">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rPr>
      </w:pPr>
      <w:r>
        <w:rPr>
          <w:rFonts w:hint="eastAsia" w:ascii="宋体" w:hAnsi="宋体" w:eastAsia="宋体" w:cs="宋体"/>
          <w:i w:val="0"/>
          <w:iCs w:val="0"/>
          <w:caps w:val="0"/>
          <w:color w:val="222222"/>
          <w:spacing w:val="8"/>
          <w:kern w:val="2"/>
          <w:sz w:val="24"/>
          <w:szCs w:val="24"/>
          <w:shd w:val="clear" w:color="080000" w:fill="FFFFFF"/>
        </w:rPr>
        <w:t>南华大学衡阳医学院副</w:t>
      </w:r>
      <w:r>
        <w:rPr>
          <w:rFonts w:hint="eastAsia" w:ascii="宋体" w:hAnsi="宋体" w:eastAsia="宋体" w:cs="宋体"/>
          <w:i w:val="0"/>
          <w:iCs w:val="0"/>
          <w:caps w:val="0"/>
          <w:color w:val="222222"/>
          <w:spacing w:val="8"/>
          <w:kern w:val="2"/>
          <w:sz w:val="24"/>
          <w:szCs w:val="24"/>
          <w:shd w:val="clear" w:color="080000" w:fill="FFFFFF"/>
          <w:lang w:eastAsia="zh-CN"/>
        </w:rPr>
        <w:t>院长</w:t>
      </w:r>
      <w:r>
        <w:rPr>
          <w:rFonts w:hint="eastAsia" w:ascii="宋体" w:hAnsi="宋体" w:eastAsia="宋体" w:cs="宋体"/>
          <w:i w:val="0"/>
          <w:iCs w:val="0"/>
          <w:caps w:val="0"/>
          <w:color w:val="222222"/>
          <w:spacing w:val="8"/>
          <w:kern w:val="2"/>
          <w:sz w:val="24"/>
          <w:szCs w:val="24"/>
          <w:shd w:val="clear" w:color="080000" w:fill="FFFFFF"/>
        </w:rPr>
        <w:t>兼南华大学人力资源处副处长</w:t>
      </w:r>
    </w:p>
    <w:p w14:paraId="2D8C03A4">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lang w:val="en-US" w:eastAsia="zh-CN"/>
        </w:rPr>
      </w:pPr>
      <w:r>
        <w:rPr>
          <w:rFonts w:hint="eastAsia" w:ascii="宋体" w:hAnsi="宋体" w:eastAsia="宋体" w:cs="宋体"/>
          <w:i w:val="0"/>
          <w:iCs w:val="0"/>
          <w:caps w:val="0"/>
          <w:color w:val="222222"/>
          <w:spacing w:val="8"/>
          <w:kern w:val="2"/>
          <w:sz w:val="24"/>
          <w:szCs w:val="24"/>
          <w:shd w:val="clear" w:color="080000" w:fill="FFFFFF"/>
        </w:rPr>
        <w:t>周杰灿：</w:t>
      </w:r>
      <w:r>
        <w:rPr>
          <w:rFonts w:hint="eastAsia" w:ascii="宋体" w:hAnsi="宋体" w:eastAsia="宋体" w:cs="宋体"/>
          <w:i w:val="0"/>
          <w:iCs w:val="0"/>
          <w:caps w:val="0"/>
          <w:color w:val="222222"/>
          <w:spacing w:val="8"/>
          <w:kern w:val="2"/>
          <w:sz w:val="24"/>
          <w:szCs w:val="24"/>
          <w:shd w:val="clear" w:color="080000" w:fill="FFFFFF"/>
          <w:lang w:val="en-US" w:eastAsia="zh-CN"/>
        </w:rPr>
        <w:t>15073406232；</w:t>
      </w:r>
    </w:p>
    <w:p w14:paraId="5CEF0B7E">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rPr>
      </w:pPr>
      <w:r>
        <w:rPr>
          <w:rFonts w:hint="eastAsia" w:ascii="宋体" w:hAnsi="宋体" w:eastAsia="宋体" w:cs="宋体"/>
          <w:i w:val="0"/>
          <w:iCs w:val="0"/>
          <w:caps w:val="0"/>
          <w:color w:val="222222"/>
          <w:spacing w:val="8"/>
          <w:kern w:val="2"/>
          <w:sz w:val="24"/>
          <w:szCs w:val="24"/>
          <w:shd w:val="clear" w:color="080000" w:fill="FFFFFF"/>
        </w:rPr>
        <w:t>邮箱：hyyxy@usc.edu.cn</w:t>
      </w:r>
      <w:bookmarkStart w:id="0" w:name="_GoBack"/>
      <w:bookmarkEnd w:id="0"/>
    </w:p>
    <w:p w14:paraId="0FB1C679">
      <w:pPr>
        <w:pStyle w:val="3"/>
        <w:spacing w:before="150" w:beforeLines="0" w:beforeAutospacing="0" w:after="0" w:afterLines="0" w:afterAutospacing="0" w:line="504" w:lineRule="atLeast"/>
        <w:ind w:firstLine="560"/>
        <w:jc w:val="both"/>
        <w:rPr>
          <w:rFonts w:hint="eastAsia" w:ascii="宋体" w:hAnsi="宋体" w:eastAsia="宋体" w:cs="宋体"/>
          <w:i w:val="0"/>
          <w:iCs w:val="0"/>
          <w:caps w:val="0"/>
          <w:color w:val="222222"/>
          <w:spacing w:val="8"/>
          <w:kern w:val="2"/>
          <w:sz w:val="24"/>
          <w:szCs w:val="24"/>
          <w:shd w:val="clear" w:color="080000" w:fill="FFFFFF"/>
        </w:rPr>
      </w:pPr>
      <w:r>
        <w:rPr>
          <w:rFonts w:hint="eastAsia" w:ascii="宋体" w:hAnsi="宋体" w:eastAsia="宋体" w:cs="宋体"/>
          <w:i w:val="0"/>
          <w:iCs w:val="0"/>
          <w:caps w:val="0"/>
          <w:color w:val="222222"/>
          <w:spacing w:val="8"/>
          <w:kern w:val="2"/>
          <w:sz w:val="24"/>
          <w:szCs w:val="24"/>
          <w:shd w:val="clear" w:color="080000" w:fill="FFFFFF"/>
        </w:rPr>
        <w:t>联系电话：0734-8282749</w:t>
      </w:r>
    </w:p>
    <w:p w14:paraId="6C93B322">
      <w:pPr>
        <w:widowControl/>
        <w:jc w:val="lef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E3CA5"/>
    <w:multiLevelType w:val="singleLevel"/>
    <w:tmpl w:val="44FE3CA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QxOWM2NTUxOGUwNzY3YzIyMWFhNzAyYWE0ODFmMWMifQ=="/>
  </w:docVars>
  <w:rsids>
    <w:rsidRoot w:val="758A4702"/>
    <w:rsid w:val="00980CF0"/>
    <w:rsid w:val="00B06EA2"/>
    <w:rsid w:val="00B425B5"/>
    <w:rsid w:val="034C72DC"/>
    <w:rsid w:val="062E0F1B"/>
    <w:rsid w:val="0A81776C"/>
    <w:rsid w:val="0DA970D9"/>
    <w:rsid w:val="0FD0094D"/>
    <w:rsid w:val="140E5EE8"/>
    <w:rsid w:val="14E05AD6"/>
    <w:rsid w:val="16B34315"/>
    <w:rsid w:val="1B644941"/>
    <w:rsid w:val="1BDD4B1E"/>
    <w:rsid w:val="1CAC629E"/>
    <w:rsid w:val="1CC83A43"/>
    <w:rsid w:val="1E240488"/>
    <w:rsid w:val="224B7566"/>
    <w:rsid w:val="228C2DF9"/>
    <w:rsid w:val="258C0380"/>
    <w:rsid w:val="27853D9B"/>
    <w:rsid w:val="291E49C7"/>
    <w:rsid w:val="2B045E83"/>
    <w:rsid w:val="2CB17B5A"/>
    <w:rsid w:val="311B76A0"/>
    <w:rsid w:val="31F822D0"/>
    <w:rsid w:val="3229327F"/>
    <w:rsid w:val="322E7A29"/>
    <w:rsid w:val="36CB7911"/>
    <w:rsid w:val="371116C7"/>
    <w:rsid w:val="37A90BE8"/>
    <w:rsid w:val="381A0BE9"/>
    <w:rsid w:val="3AD924FC"/>
    <w:rsid w:val="3CCA47F2"/>
    <w:rsid w:val="3DFF1307"/>
    <w:rsid w:val="3FB62744"/>
    <w:rsid w:val="42C500CA"/>
    <w:rsid w:val="42F223AD"/>
    <w:rsid w:val="46B64B1C"/>
    <w:rsid w:val="486C04A5"/>
    <w:rsid w:val="48AC74A2"/>
    <w:rsid w:val="491D3466"/>
    <w:rsid w:val="49E20FF5"/>
    <w:rsid w:val="4A621E0D"/>
    <w:rsid w:val="4B533C05"/>
    <w:rsid w:val="4B7827CF"/>
    <w:rsid w:val="4BAF27B7"/>
    <w:rsid w:val="4D1E150B"/>
    <w:rsid w:val="4E4A7541"/>
    <w:rsid w:val="4E7C3473"/>
    <w:rsid w:val="512C2F2E"/>
    <w:rsid w:val="52C703F0"/>
    <w:rsid w:val="54C0055D"/>
    <w:rsid w:val="56C854A7"/>
    <w:rsid w:val="56DC0F52"/>
    <w:rsid w:val="583F179D"/>
    <w:rsid w:val="5B731FC6"/>
    <w:rsid w:val="5E9B7945"/>
    <w:rsid w:val="60E1226B"/>
    <w:rsid w:val="640026DC"/>
    <w:rsid w:val="640A1E10"/>
    <w:rsid w:val="65DC0F6F"/>
    <w:rsid w:val="68290ABE"/>
    <w:rsid w:val="69230C63"/>
    <w:rsid w:val="6B7B2BC1"/>
    <w:rsid w:val="6BDE57BB"/>
    <w:rsid w:val="6DAA57F1"/>
    <w:rsid w:val="6EF824DF"/>
    <w:rsid w:val="6F3E67F6"/>
    <w:rsid w:val="6F960F36"/>
    <w:rsid w:val="702552C0"/>
    <w:rsid w:val="70654783"/>
    <w:rsid w:val="711A1966"/>
    <w:rsid w:val="716F16D1"/>
    <w:rsid w:val="71AD6E2A"/>
    <w:rsid w:val="7288409F"/>
    <w:rsid w:val="74055B35"/>
    <w:rsid w:val="74E514C2"/>
    <w:rsid w:val="751B7905"/>
    <w:rsid w:val="758A4702"/>
    <w:rsid w:val="769160B7"/>
    <w:rsid w:val="774B7D02"/>
    <w:rsid w:val="779A31F0"/>
    <w:rsid w:val="779C230C"/>
    <w:rsid w:val="786131CB"/>
    <w:rsid w:val="7899684C"/>
    <w:rsid w:val="7AD868F2"/>
    <w:rsid w:val="7FB63D8B"/>
    <w:rsid w:val="7FC76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1848</Words>
  <Characters>1962</Characters>
  <Lines>13</Lines>
  <Paragraphs>3</Paragraphs>
  <TotalTime>0</TotalTime>
  <ScaleCrop>false</ScaleCrop>
  <LinksUpToDate>false</LinksUpToDate>
  <CharactersWithSpaces>1969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2022-10-06T02:56:00Z</dcterms:created>
  <dc:creator>米菲儿</dc:creator>
  <cp:lastModifiedBy>怀柔</cp:lastModifiedBy>
  <cp:lastPrinted>2023-09-07T02:09:00Z</cp:lastPrinted>
  <dcterms:modified xsi:type="dcterms:W3CDTF">2024-10-21T07:32:24Z</dcterms:modified>
  <dc:title>南华大学简介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14765DCA77334A96A1C4EAA71F721B7D</vt:lpwstr>
  </property>
</Properties>
</file>