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F6" w:rsidRPr="00594CCF" w:rsidRDefault="009707F6" w:rsidP="009707F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594CCF">
        <w:rPr>
          <w:rFonts w:ascii="Times New Roman" w:hAnsi="Times New Roman" w:cs="Times New Roman" w:hint="eastAsia"/>
          <w:b/>
          <w:sz w:val="36"/>
          <w:szCs w:val="32"/>
        </w:rPr>
        <w:t>容诚</w:t>
      </w:r>
      <w:r w:rsidRPr="00594CCF">
        <w:rPr>
          <w:rFonts w:ascii="Times New Roman" w:hAnsi="Times New Roman" w:cs="Times New Roman"/>
          <w:b/>
          <w:sz w:val="36"/>
          <w:szCs w:val="32"/>
        </w:rPr>
        <w:t>会计师事务所（特殊普通合伙）</w:t>
      </w:r>
      <w:r w:rsidR="00114009">
        <w:rPr>
          <w:rFonts w:ascii="Times New Roman" w:hAnsi="Times New Roman" w:cs="Times New Roman"/>
          <w:b/>
          <w:sz w:val="36"/>
          <w:szCs w:val="32"/>
        </w:rPr>
        <w:t>山东分所</w:t>
      </w:r>
    </w:p>
    <w:p w:rsidR="009707F6" w:rsidRPr="00594CCF" w:rsidRDefault="00EA308F" w:rsidP="009707F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招聘简章</w:t>
      </w:r>
    </w:p>
    <w:p w:rsidR="009707F6" w:rsidRPr="00594CCF" w:rsidRDefault="009707F6" w:rsidP="009707F6">
      <w:pPr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594CCF">
        <w:rPr>
          <w:rFonts w:ascii="Times New Roman" w:hAnsi="Times New Roman" w:cs="Times New Roman" w:hint="eastAsia"/>
          <w:b/>
          <w:bCs/>
          <w:sz w:val="24"/>
          <w:szCs w:val="24"/>
        </w:rPr>
        <w:t>一、企业简介</w:t>
      </w:r>
    </w:p>
    <w:p w:rsidR="00CD7EE7" w:rsidRPr="00742F6B" w:rsidRDefault="00CD7EE7" w:rsidP="00CD7EE7">
      <w:pPr>
        <w:snapToGrid w:val="0"/>
        <w:spacing w:beforeLines="50" w:before="156" w:afterLines="50" w:after="156" w:line="360" w:lineRule="auto"/>
        <w:ind w:firstLine="573"/>
        <w:rPr>
          <w:rFonts w:ascii="宋体" w:eastAsia="宋体" w:hAnsi="宋体" w:cs="Times New Roman"/>
          <w:bCs/>
          <w:sz w:val="24"/>
          <w:szCs w:val="24"/>
        </w:rPr>
      </w:pPr>
      <w:r w:rsidRPr="00742F6B">
        <w:rPr>
          <w:rFonts w:ascii="宋体" w:eastAsia="宋体" w:hAnsi="宋体" w:cs="Times New Roman" w:hint="eastAsia"/>
          <w:bCs/>
          <w:sz w:val="24"/>
          <w:szCs w:val="24"/>
        </w:rPr>
        <w:t>容诚会计师事务所（特殊普通合伙）（原名华普天健会计师事务所，以下简称“容诚”或“本所”）系一家成立逾30年的专业化、制度化、国际化的大型会计师事务所，具有</w:t>
      </w:r>
      <w:r w:rsidRPr="00742F6B">
        <w:rPr>
          <w:rFonts w:ascii="宋体" w:eastAsia="宋体" w:hAnsi="宋体" w:cs="Times New Roman" w:hint="eastAsia"/>
          <w:b/>
          <w:bCs/>
          <w:sz w:val="24"/>
          <w:szCs w:val="24"/>
        </w:rPr>
        <w:t>证券期货相关业务资格、金融相关审计业务资格、特大型国有企业审计资格、军工涉密业务咨询服务资格</w:t>
      </w:r>
      <w:r w:rsidRPr="00742F6B">
        <w:rPr>
          <w:rFonts w:ascii="宋体" w:eastAsia="宋体" w:hAnsi="宋体" w:cs="Times New Roman" w:hint="eastAsia"/>
          <w:bCs/>
          <w:sz w:val="24"/>
          <w:szCs w:val="24"/>
        </w:rPr>
        <w:t>等，是全球第六大会计网络平台R</w:t>
      </w:r>
      <w:r w:rsidRPr="00742F6B">
        <w:rPr>
          <w:rFonts w:ascii="宋体" w:eastAsia="宋体" w:hAnsi="宋体" w:cs="Times New Roman"/>
          <w:bCs/>
          <w:sz w:val="24"/>
          <w:szCs w:val="24"/>
        </w:rPr>
        <w:t>SM</w:t>
      </w:r>
      <w:r w:rsidRPr="00742F6B">
        <w:rPr>
          <w:rFonts w:ascii="宋体" w:eastAsia="宋体" w:hAnsi="宋体" w:cs="Times New Roman" w:hint="eastAsia"/>
          <w:bCs/>
          <w:sz w:val="24"/>
          <w:szCs w:val="24"/>
        </w:rPr>
        <w:t>的国际网络平台成员所，业务涉及股票发行与上市、公司改制、企业重组、资本运作、财务咨询、管理咨询、税务咨询等领域。</w:t>
      </w:r>
      <w:r w:rsidR="00742F6B">
        <w:rPr>
          <w:rFonts w:ascii="宋体" w:eastAsia="宋体" w:hAnsi="宋体" w:cs="Times New Roman" w:hint="eastAsia"/>
          <w:bCs/>
          <w:sz w:val="24"/>
          <w:szCs w:val="24"/>
        </w:rPr>
        <w:t>本所执行高度的一体化管理。</w:t>
      </w:r>
    </w:p>
    <w:p w:rsidR="00CD7EE7" w:rsidRPr="00742F6B" w:rsidRDefault="00CD7EE7" w:rsidP="00CD7EE7">
      <w:pPr>
        <w:snapToGrid w:val="0"/>
        <w:spacing w:beforeLines="50" w:before="156" w:afterLines="50" w:after="156" w:line="360" w:lineRule="auto"/>
        <w:ind w:firstLine="573"/>
        <w:rPr>
          <w:rFonts w:ascii="宋体" w:eastAsia="宋体" w:hAnsi="宋体" w:cs="Times New Roman"/>
          <w:b/>
          <w:bCs/>
          <w:sz w:val="24"/>
          <w:szCs w:val="24"/>
        </w:rPr>
      </w:pPr>
      <w:r w:rsidRPr="00742F6B">
        <w:rPr>
          <w:rFonts w:ascii="宋体" w:eastAsia="宋体" w:hAnsi="宋体" w:cs="Times New Roman" w:hint="eastAsia"/>
          <w:bCs/>
          <w:sz w:val="24"/>
          <w:szCs w:val="24"/>
        </w:rPr>
        <w:t>2019年，容诚实现业务收入</w:t>
      </w:r>
      <w:r w:rsidRPr="00742F6B">
        <w:rPr>
          <w:rFonts w:ascii="宋体" w:eastAsia="宋体" w:hAnsi="宋体" w:cs="Times New Roman"/>
          <w:bCs/>
          <w:sz w:val="24"/>
          <w:szCs w:val="24"/>
        </w:rPr>
        <w:t>逾</w:t>
      </w:r>
      <w:r w:rsidRPr="00742F6B">
        <w:rPr>
          <w:rFonts w:ascii="宋体" w:eastAsia="宋体" w:hAnsi="宋体" w:cs="Times New Roman" w:hint="eastAsia"/>
          <w:bCs/>
          <w:sz w:val="24"/>
          <w:szCs w:val="24"/>
        </w:rPr>
        <w:t>10亿元，为</w:t>
      </w:r>
      <w:r w:rsidRPr="00742F6B">
        <w:rPr>
          <w:rFonts w:ascii="宋体" w:eastAsia="宋体" w:hAnsi="宋体" w:cs="Times New Roman"/>
          <w:bCs/>
          <w:sz w:val="24"/>
          <w:szCs w:val="24"/>
        </w:rPr>
        <w:t>国务院国有资产监督管理委员会审计监督项目会计师事务所</w:t>
      </w:r>
      <w:r w:rsidRPr="00742F6B">
        <w:rPr>
          <w:rFonts w:ascii="宋体" w:eastAsia="宋体" w:hAnsi="宋体" w:cs="Times New Roman" w:hint="eastAsia"/>
          <w:bCs/>
          <w:sz w:val="24"/>
          <w:szCs w:val="24"/>
        </w:rPr>
        <w:t>。容诚</w:t>
      </w:r>
      <w:r w:rsidRPr="00742F6B">
        <w:rPr>
          <w:rFonts w:ascii="宋体" w:eastAsia="宋体" w:hAnsi="宋体" w:cs="Times New Roman" w:hint="eastAsia"/>
          <w:b/>
          <w:bCs/>
          <w:sz w:val="24"/>
          <w:szCs w:val="24"/>
        </w:rPr>
        <w:t>2</w:t>
      </w:r>
      <w:r w:rsidRPr="00742F6B">
        <w:rPr>
          <w:rFonts w:ascii="宋体" w:eastAsia="宋体" w:hAnsi="宋体" w:cs="Times New Roman"/>
          <w:b/>
          <w:bCs/>
          <w:sz w:val="24"/>
          <w:szCs w:val="24"/>
        </w:rPr>
        <w:t>019</w:t>
      </w:r>
      <w:r w:rsidRPr="00742F6B">
        <w:rPr>
          <w:rFonts w:ascii="宋体" w:eastAsia="宋体" w:hAnsi="宋体" w:cs="Times New Roman" w:hint="eastAsia"/>
          <w:b/>
          <w:bCs/>
          <w:sz w:val="24"/>
          <w:szCs w:val="24"/>
        </w:rPr>
        <w:t>年度IPO审计业务量位列全国第三位。</w:t>
      </w:r>
    </w:p>
    <w:p w:rsidR="00CD7EE7" w:rsidRPr="00742F6B" w:rsidRDefault="00CD7EE7" w:rsidP="00CD7EE7">
      <w:pPr>
        <w:snapToGrid w:val="0"/>
        <w:spacing w:beforeLines="50" w:before="156" w:afterLines="50" w:after="156" w:line="360" w:lineRule="auto"/>
        <w:ind w:firstLine="573"/>
        <w:rPr>
          <w:rFonts w:ascii="宋体" w:eastAsia="宋体" w:hAnsi="宋体" w:cs="Times New Roman"/>
          <w:color w:val="000000"/>
          <w:sz w:val="24"/>
          <w:szCs w:val="24"/>
        </w:rPr>
      </w:pPr>
      <w:r w:rsidRPr="00742F6B">
        <w:rPr>
          <w:rFonts w:ascii="宋体" w:eastAsia="宋体" w:hAnsi="宋体" w:cs="Times New Roman" w:hint="eastAsia"/>
          <w:bCs/>
          <w:sz w:val="24"/>
          <w:szCs w:val="24"/>
        </w:rPr>
        <w:t>容诚总部设在北京，设有安徽分所、辽宁分所、上海分所、山东分所、芜湖分所、四川分所、苏州分所、浙江分所、深圳分所、厦门分所、广西分所、无锡分所、南京分所、福州分所、广州分所共十五家分所。现有员工</w:t>
      </w:r>
      <w:r w:rsidR="00404CD2">
        <w:rPr>
          <w:rFonts w:ascii="宋体" w:eastAsia="宋体" w:hAnsi="宋体" w:cs="Times New Roman" w:hint="eastAsia"/>
          <w:bCs/>
          <w:sz w:val="24"/>
          <w:szCs w:val="24"/>
        </w:rPr>
        <w:t>40</w:t>
      </w:r>
      <w:r w:rsidRPr="00742F6B">
        <w:rPr>
          <w:rFonts w:ascii="宋体" w:eastAsia="宋体" w:hAnsi="宋体" w:cs="Times New Roman" w:hint="eastAsia"/>
          <w:bCs/>
          <w:sz w:val="24"/>
          <w:szCs w:val="24"/>
        </w:rPr>
        <w:t>00余人，其中注册会计师近10</w:t>
      </w:r>
      <w:r w:rsidRPr="00742F6B">
        <w:rPr>
          <w:rFonts w:ascii="宋体" w:eastAsia="宋体" w:hAnsi="宋体" w:cs="Times New Roman"/>
          <w:bCs/>
          <w:sz w:val="24"/>
          <w:szCs w:val="24"/>
        </w:rPr>
        <w:t>00</w:t>
      </w:r>
      <w:r w:rsidRPr="00742F6B">
        <w:rPr>
          <w:rFonts w:ascii="宋体" w:eastAsia="宋体" w:hAnsi="宋体" w:cs="Times New Roman" w:hint="eastAsia"/>
          <w:bCs/>
          <w:sz w:val="24"/>
          <w:szCs w:val="24"/>
        </w:rPr>
        <w:t>人，全国注册会计师行业领军人才20余人，</w:t>
      </w:r>
      <w:proofErr w:type="gramStart"/>
      <w:r w:rsidRPr="00742F6B">
        <w:rPr>
          <w:rFonts w:ascii="宋体" w:eastAsia="宋体" w:hAnsi="宋体" w:cs="Times New Roman" w:hint="eastAsia"/>
          <w:bCs/>
          <w:sz w:val="24"/>
          <w:szCs w:val="24"/>
        </w:rPr>
        <w:t>省级行业</w:t>
      </w:r>
      <w:proofErr w:type="gramEnd"/>
      <w:r w:rsidRPr="00742F6B">
        <w:rPr>
          <w:rFonts w:ascii="宋体" w:eastAsia="宋体" w:hAnsi="宋体" w:cs="Times New Roman" w:hint="eastAsia"/>
          <w:bCs/>
          <w:sz w:val="24"/>
          <w:szCs w:val="24"/>
        </w:rPr>
        <w:t>领军人才50余人</w:t>
      </w:r>
      <w:r w:rsidRPr="00742F6B">
        <w:rPr>
          <w:rFonts w:ascii="宋体" w:eastAsia="宋体" w:hAnsi="宋体" w:cs="Times New Roman" w:hint="eastAsia"/>
          <w:color w:val="000000"/>
          <w:sz w:val="24"/>
          <w:szCs w:val="24"/>
        </w:rPr>
        <w:t>，并有多人担任财政部、证监会、中国注册会计师协会等机构的专家委员。容诚</w:t>
      </w:r>
      <w:r w:rsidRPr="00742F6B">
        <w:rPr>
          <w:rFonts w:ascii="宋体" w:eastAsia="宋体" w:hAnsi="宋体" w:cs="Times New Roman" w:hint="eastAsia"/>
          <w:b/>
          <w:sz w:val="24"/>
          <w:szCs w:val="24"/>
        </w:rPr>
        <w:t>先后共为境内2</w:t>
      </w:r>
      <w:r w:rsidRPr="00742F6B">
        <w:rPr>
          <w:rFonts w:ascii="宋体" w:eastAsia="宋体" w:hAnsi="宋体" w:cs="Times New Roman"/>
          <w:b/>
          <w:sz w:val="24"/>
          <w:szCs w:val="24"/>
        </w:rPr>
        <w:t>00</w:t>
      </w:r>
      <w:r w:rsidRPr="00742F6B">
        <w:rPr>
          <w:rFonts w:ascii="宋体" w:eastAsia="宋体" w:hAnsi="宋体" w:cs="Times New Roman" w:hint="eastAsia"/>
          <w:b/>
          <w:sz w:val="24"/>
          <w:szCs w:val="24"/>
        </w:rPr>
        <w:t>余家A股上市公司、</w:t>
      </w:r>
      <w:r w:rsidRPr="00742F6B">
        <w:rPr>
          <w:rFonts w:ascii="宋体" w:eastAsia="宋体" w:hAnsi="宋体" w:cs="Times New Roman" w:hint="eastAsia"/>
          <w:b/>
          <w:bCs/>
          <w:sz w:val="24"/>
          <w:szCs w:val="24"/>
        </w:rPr>
        <w:t>300余家拟上市公司、</w:t>
      </w:r>
      <w:r w:rsidRPr="00742F6B">
        <w:rPr>
          <w:rFonts w:ascii="宋体" w:eastAsia="宋体" w:hAnsi="宋体" w:cs="Times New Roman"/>
          <w:b/>
          <w:sz w:val="24"/>
          <w:szCs w:val="24"/>
        </w:rPr>
        <w:t>2</w:t>
      </w:r>
      <w:r w:rsidRPr="00742F6B">
        <w:rPr>
          <w:rFonts w:ascii="宋体" w:eastAsia="宋体" w:hAnsi="宋体" w:cs="Times New Roman" w:hint="eastAsia"/>
          <w:b/>
          <w:sz w:val="24"/>
          <w:szCs w:val="24"/>
        </w:rPr>
        <w:t>00余家发行企业债券企业、400余家新三板企业</w:t>
      </w:r>
      <w:r w:rsidRPr="00742F6B">
        <w:rPr>
          <w:rFonts w:ascii="宋体" w:eastAsia="宋体" w:hAnsi="宋体" w:cs="Times New Roman" w:hint="eastAsia"/>
          <w:b/>
          <w:bCs/>
          <w:sz w:val="24"/>
          <w:szCs w:val="24"/>
        </w:rPr>
        <w:t>及200余家其他企业常年提供专业服务，</w:t>
      </w:r>
      <w:r w:rsidRPr="00742F6B">
        <w:rPr>
          <w:rFonts w:ascii="宋体" w:eastAsia="宋体" w:hAnsi="宋体" w:cs="Times New Roman" w:hint="eastAsia"/>
          <w:bCs/>
          <w:sz w:val="24"/>
          <w:szCs w:val="24"/>
        </w:rPr>
        <w:t>业务区域遍及全国，</w:t>
      </w:r>
      <w:r w:rsidRPr="00742F6B">
        <w:rPr>
          <w:rFonts w:ascii="宋体" w:eastAsia="宋体" w:hAnsi="宋体" w:cs="Times New Roman" w:hint="eastAsia"/>
          <w:sz w:val="24"/>
          <w:szCs w:val="24"/>
        </w:rPr>
        <w:t>客户领域涉及</w:t>
      </w:r>
      <w:r w:rsidRPr="00742F6B">
        <w:rPr>
          <w:rFonts w:ascii="宋体" w:eastAsia="宋体" w:hAnsi="宋体" w:cs="Times New Roman" w:hint="eastAsia"/>
          <w:bCs/>
          <w:sz w:val="24"/>
          <w:szCs w:val="24"/>
        </w:rPr>
        <w:t>各</w:t>
      </w:r>
      <w:r w:rsidRPr="00742F6B">
        <w:rPr>
          <w:rFonts w:ascii="宋体" w:eastAsia="宋体" w:hAnsi="宋体" w:cs="Times New Roman"/>
          <w:bCs/>
          <w:sz w:val="24"/>
          <w:szCs w:val="24"/>
        </w:rPr>
        <w:t>个行业</w:t>
      </w:r>
      <w:r w:rsidRPr="00742F6B">
        <w:rPr>
          <w:rFonts w:ascii="宋体" w:eastAsia="宋体" w:hAnsi="宋体" w:cs="Times New Roman" w:hint="eastAsia"/>
          <w:bCs/>
          <w:sz w:val="24"/>
          <w:szCs w:val="24"/>
        </w:rPr>
        <w:t>。合理的网络布局、广泛的行业分布、丰富的市场经验、一流的专家团队，构成了容诚持续健康发展的核心竞争力</w:t>
      </w:r>
      <w:r w:rsidRPr="00742F6B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D86A28" w:rsidRDefault="00A946A1" w:rsidP="00BC1A81">
      <w:pPr>
        <w:snapToGrid w:val="0"/>
        <w:spacing w:line="360" w:lineRule="auto"/>
        <w:ind w:left="482"/>
        <w:rPr>
          <w:b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二、</w:t>
      </w:r>
      <w:r w:rsidR="009707F6">
        <w:rPr>
          <w:rFonts w:ascii="Times New Roman" w:hAnsi="Times New Roman" w:cs="Times New Roman" w:hint="eastAsia"/>
          <w:b/>
          <w:sz w:val="24"/>
          <w:szCs w:val="24"/>
        </w:rPr>
        <w:t>招聘岗位</w:t>
      </w:r>
      <w:r w:rsidR="00BC1A81">
        <w:rPr>
          <w:rFonts w:ascii="Times New Roman" w:hAnsi="Times New Roman" w:cs="Times New Roman" w:hint="eastAsia"/>
          <w:b/>
          <w:sz w:val="24"/>
          <w:szCs w:val="24"/>
        </w:rPr>
        <w:t xml:space="preserve">      </w:t>
      </w:r>
      <w:r w:rsidR="00D86A28" w:rsidRPr="00D86A28">
        <w:rPr>
          <w:rFonts w:hint="eastAsia"/>
          <w:b/>
        </w:rPr>
        <w:t>实习生</w:t>
      </w:r>
      <w:r w:rsidR="00D86A28">
        <w:rPr>
          <w:rFonts w:hint="eastAsia"/>
          <w:b/>
        </w:rPr>
        <w:t>：</w:t>
      </w:r>
      <w:r w:rsidR="00A94020">
        <w:rPr>
          <w:rFonts w:hint="eastAsia"/>
          <w:b/>
        </w:rPr>
        <w:t>5</w:t>
      </w:r>
      <w:r w:rsidR="00D86A28">
        <w:rPr>
          <w:rFonts w:hint="eastAsia"/>
          <w:b/>
        </w:rPr>
        <w:t>0</w:t>
      </w:r>
      <w:r w:rsidR="00D86A28">
        <w:rPr>
          <w:rFonts w:hint="eastAsia"/>
          <w:b/>
        </w:rPr>
        <w:t>人</w:t>
      </w:r>
    </w:p>
    <w:p w:rsidR="00D86A28" w:rsidRPr="00F6668A" w:rsidRDefault="00D86A28" w:rsidP="00F6668A">
      <w:pPr>
        <w:pStyle w:val="a6"/>
        <w:spacing w:line="360" w:lineRule="auto"/>
        <w:ind w:firstLineChars="200" w:firstLine="480"/>
      </w:pPr>
      <w:r w:rsidRPr="00F6668A">
        <w:t>本科及研究生学历的在读在校生</w:t>
      </w:r>
      <w:r w:rsidRPr="00F6668A">
        <w:rPr>
          <w:rFonts w:hint="eastAsia"/>
        </w:rPr>
        <w:t>，</w:t>
      </w:r>
      <w:r w:rsidR="00975AA4">
        <w:t>会计、审计、财管、金融等相关专业</w:t>
      </w:r>
      <w:r w:rsidR="00975AA4">
        <w:rPr>
          <w:rFonts w:hint="eastAsia"/>
        </w:rPr>
        <w:t>，</w:t>
      </w:r>
      <w:r w:rsidRPr="00F6668A">
        <w:t>有相对连续的时间出差</w:t>
      </w:r>
      <w:r w:rsidRPr="00F6668A">
        <w:rPr>
          <w:rFonts w:hint="eastAsia"/>
        </w:rPr>
        <w:t>，熟练使用办公软件，抗压能力强，善于沟通</w:t>
      </w:r>
      <w:r w:rsidR="00F6668A">
        <w:rPr>
          <w:rFonts w:hint="eastAsia"/>
        </w:rPr>
        <w:t>；</w:t>
      </w:r>
      <w:r w:rsidRPr="00F6668A">
        <w:t>应届生在实习期间表现优秀的由内推机会</w:t>
      </w:r>
      <w:r w:rsidR="00BC1A81">
        <w:rPr>
          <w:rFonts w:hint="eastAsia"/>
        </w:rPr>
        <w:t>，</w:t>
      </w:r>
      <w:r w:rsidR="00BC1A81">
        <w:t>特别优秀的可以直接签订三方就业协议</w:t>
      </w:r>
      <w:bookmarkStart w:id="0" w:name="_GoBack"/>
      <w:bookmarkEnd w:id="0"/>
      <w:r w:rsidRPr="00F6668A">
        <w:rPr>
          <w:rFonts w:hint="eastAsia"/>
        </w:rPr>
        <w:t>。</w:t>
      </w:r>
    </w:p>
    <w:p w:rsidR="00A946A1" w:rsidRPr="00594CCF" w:rsidRDefault="00A946A1" w:rsidP="00A946A1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四、</w:t>
      </w:r>
      <w:r w:rsidRPr="00594CCF">
        <w:rPr>
          <w:rFonts w:ascii="Times New Roman" w:hAnsi="Times New Roman" w:cs="Times New Roman"/>
          <w:b/>
          <w:sz w:val="24"/>
          <w:szCs w:val="24"/>
        </w:rPr>
        <w:t>邮箱投递</w:t>
      </w:r>
    </w:p>
    <w:p w:rsidR="00A946A1" w:rsidRDefault="00A946A1" w:rsidP="00A946A1">
      <w:pPr>
        <w:spacing w:line="360" w:lineRule="auto"/>
        <w:ind w:firstLineChars="195" w:firstLine="468"/>
        <w:rPr>
          <w:rFonts w:ascii="Times New Roman" w:hAnsi="Times New Roman" w:cs="Times New Roman"/>
          <w:sz w:val="24"/>
          <w:szCs w:val="24"/>
        </w:rPr>
      </w:pPr>
      <w:r w:rsidRPr="00594CCF">
        <w:rPr>
          <w:rFonts w:ascii="Times New Roman" w:hAnsi="Times New Roman" w:cs="Times New Roman"/>
          <w:sz w:val="24"/>
          <w:szCs w:val="24"/>
        </w:rPr>
        <w:t>简历请发至招聘邮箱：</w:t>
      </w:r>
      <w:r w:rsidR="00DD2804" w:rsidRPr="00DD2804">
        <w:rPr>
          <w:rFonts w:ascii="Times New Roman" w:hAnsi="Times New Roman" w:cs="Times New Roman"/>
          <w:sz w:val="24"/>
          <w:szCs w:val="24"/>
        </w:rPr>
        <w:t>sd</w:t>
      </w:r>
      <w:r w:rsidRPr="00DD2804">
        <w:rPr>
          <w:rFonts w:ascii="Times New Roman" w:hAnsi="Times New Roman" w:cs="Times New Roman"/>
          <w:sz w:val="24"/>
          <w:szCs w:val="24"/>
        </w:rPr>
        <w:t>@rsmchina.com.cn</w:t>
      </w:r>
      <w:r w:rsidRPr="00594CCF">
        <w:rPr>
          <w:rFonts w:ascii="Times New Roman" w:hAnsi="Times New Roman" w:cs="Times New Roman"/>
          <w:sz w:val="24"/>
          <w:szCs w:val="24"/>
        </w:rPr>
        <w:t>；邮件标题统一标明为：</w:t>
      </w:r>
      <w:r w:rsidRPr="00594CCF">
        <w:rPr>
          <w:rFonts w:ascii="Times New Roman" w:hAnsi="Times New Roman" w:cs="Times New Roman" w:hint="eastAsia"/>
          <w:sz w:val="24"/>
          <w:szCs w:val="24"/>
        </w:rPr>
        <w:t>“</w:t>
      </w:r>
      <w:r w:rsidRPr="00594CCF">
        <w:rPr>
          <w:rFonts w:ascii="Times New Roman" w:hAnsi="Times New Roman" w:cs="Times New Roman"/>
          <w:sz w:val="24"/>
          <w:szCs w:val="24"/>
        </w:rPr>
        <w:t>姓名</w:t>
      </w:r>
      <w:r w:rsidRPr="00594CCF">
        <w:rPr>
          <w:rFonts w:ascii="Times New Roman" w:hAnsi="Times New Roman" w:cs="Times New Roman"/>
          <w:sz w:val="24"/>
          <w:szCs w:val="24"/>
        </w:rPr>
        <w:t>+</w:t>
      </w:r>
      <w:r w:rsidRPr="00594CCF">
        <w:rPr>
          <w:rFonts w:ascii="Times New Roman" w:hAnsi="Times New Roman" w:cs="Times New Roman"/>
          <w:sz w:val="24"/>
          <w:szCs w:val="24"/>
        </w:rPr>
        <w:lastRenderedPageBreak/>
        <w:t>院校专业</w:t>
      </w:r>
      <w:r w:rsidRPr="00594CCF">
        <w:rPr>
          <w:rFonts w:ascii="Times New Roman" w:hAnsi="Times New Roman" w:cs="Times New Roman"/>
          <w:sz w:val="24"/>
          <w:szCs w:val="24"/>
        </w:rPr>
        <w:t>+CPA</w:t>
      </w:r>
      <w:r w:rsidRPr="00594CCF">
        <w:rPr>
          <w:rFonts w:ascii="Times New Roman" w:hAnsi="Times New Roman" w:cs="Times New Roman"/>
          <w:sz w:val="24"/>
          <w:szCs w:val="24"/>
        </w:rPr>
        <w:t>通过科目</w:t>
      </w:r>
      <w:r w:rsidRPr="00594CCF">
        <w:rPr>
          <w:rFonts w:ascii="Times New Roman" w:hAnsi="Times New Roman" w:cs="Times New Roman" w:hint="eastAsia"/>
          <w:sz w:val="24"/>
          <w:szCs w:val="24"/>
        </w:rPr>
        <w:t>”</w:t>
      </w:r>
      <w:r w:rsidRPr="00594CCF">
        <w:rPr>
          <w:rFonts w:ascii="Times New Roman" w:hAnsi="Times New Roman" w:cs="Times New Roman"/>
          <w:sz w:val="24"/>
          <w:szCs w:val="24"/>
        </w:rPr>
        <w:t>。</w:t>
      </w:r>
    </w:p>
    <w:p w:rsidR="00DD2804" w:rsidRDefault="000F63DC" w:rsidP="000F63DC">
      <w:pPr>
        <w:spacing w:line="360" w:lineRule="auto"/>
        <w:ind w:firstLineChars="195" w:firstLine="4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容诚事务所网址</w:t>
      </w:r>
      <w:hyperlink r:id="rId7" w:history="1">
        <w:r w:rsidR="00742F6B" w:rsidRPr="000A334B">
          <w:rPr>
            <w:rStyle w:val="a5"/>
            <w:rFonts w:ascii="Times New Roman" w:hAnsi="Times New Roman" w:cs="Times New Roman"/>
            <w:sz w:val="24"/>
            <w:szCs w:val="24"/>
          </w:rPr>
          <w:t>https://www.rsm.global/china/</w:t>
        </w:r>
      </w:hyperlink>
    </w:p>
    <w:p w:rsidR="00300EDD" w:rsidRPr="000F63DC" w:rsidRDefault="000F63DC">
      <w:pPr>
        <w:rPr>
          <w:rFonts w:asciiTheme="minorEastAsia" w:hAnsiTheme="minorEastAsia"/>
          <w:sz w:val="24"/>
          <w:szCs w:val="24"/>
        </w:rPr>
      </w:pPr>
      <w:r w:rsidRPr="000F63DC">
        <w:rPr>
          <w:rFonts w:asciiTheme="minorEastAsia" w:hAnsiTheme="minorEastAsia" w:hint="eastAsia"/>
          <w:sz w:val="24"/>
          <w:szCs w:val="24"/>
        </w:rPr>
        <w:t xml:space="preserve">    咨询电话0531-82600802</w:t>
      </w:r>
      <w:r w:rsidR="000C1668">
        <w:rPr>
          <w:rFonts w:asciiTheme="minorEastAsia" w:hAnsiTheme="minorEastAsia" w:hint="eastAsia"/>
          <w:sz w:val="24"/>
          <w:szCs w:val="24"/>
        </w:rPr>
        <w:t xml:space="preserve">    实习QQ群：</w:t>
      </w:r>
      <w:r w:rsidR="000C1668" w:rsidRPr="000C1668">
        <w:rPr>
          <w:rFonts w:asciiTheme="minorEastAsia" w:hAnsiTheme="minorEastAsia"/>
          <w:sz w:val="24"/>
          <w:szCs w:val="24"/>
        </w:rPr>
        <w:t>686312612</w:t>
      </w:r>
    </w:p>
    <w:sectPr w:rsidR="00300EDD" w:rsidRPr="000F6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1E" w:rsidRDefault="00861A1E" w:rsidP="00E13225">
      <w:r>
        <w:separator/>
      </w:r>
    </w:p>
  </w:endnote>
  <w:endnote w:type="continuationSeparator" w:id="0">
    <w:p w:rsidR="00861A1E" w:rsidRDefault="00861A1E" w:rsidP="00E1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1E" w:rsidRDefault="00861A1E" w:rsidP="00E13225">
      <w:r>
        <w:separator/>
      </w:r>
    </w:p>
  </w:footnote>
  <w:footnote w:type="continuationSeparator" w:id="0">
    <w:p w:rsidR="00861A1E" w:rsidRDefault="00861A1E" w:rsidP="00E1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DA"/>
    <w:rsid w:val="00043E03"/>
    <w:rsid w:val="000742FA"/>
    <w:rsid w:val="000C1668"/>
    <w:rsid w:val="000F63DC"/>
    <w:rsid w:val="00114009"/>
    <w:rsid w:val="0011555B"/>
    <w:rsid w:val="00161061"/>
    <w:rsid w:val="001C44DE"/>
    <w:rsid w:val="001E51EC"/>
    <w:rsid w:val="002D407E"/>
    <w:rsid w:val="002D7A26"/>
    <w:rsid w:val="00300EDD"/>
    <w:rsid w:val="0035065A"/>
    <w:rsid w:val="00376DDA"/>
    <w:rsid w:val="003C6329"/>
    <w:rsid w:val="00404CD2"/>
    <w:rsid w:val="004A6EB8"/>
    <w:rsid w:val="00524EE3"/>
    <w:rsid w:val="00526938"/>
    <w:rsid w:val="0059260B"/>
    <w:rsid w:val="006971A1"/>
    <w:rsid w:val="006F0C97"/>
    <w:rsid w:val="00742F6B"/>
    <w:rsid w:val="007D07DA"/>
    <w:rsid w:val="00843246"/>
    <w:rsid w:val="00861A1E"/>
    <w:rsid w:val="009707F6"/>
    <w:rsid w:val="00975AA4"/>
    <w:rsid w:val="00995411"/>
    <w:rsid w:val="00A94020"/>
    <w:rsid w:val="00A946A1"/>
    <w:rsid w:val="00B16636"/>
    <w:rsid w:val="00BC1A81"/>
    <w:rsid w:val="00C67815"/>
    <w:rsid w:val="00CD7EE7"/>
    <w:rsid w:val="00D1120C"/>
    <w:rsid w:val="00D86A28"/>
    <w:rsid w:val="00DD2804"/>
    <w:rsid w:val="00E13225"/>
    <w:rsid w:val="00E3103B"/>
    <w:rsid w:val="00E520A5"/>
    <w:rsid w:val="00EA308F"/>
    <w:rsid w:val="00EF64FF"/>
    <w:rsid w:val="00F6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2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43E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2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225"/>
    <w:rPr>
      <w:sz w:val="18"/>
      <w:szCs w:val="18"/>
    </w:rPr>
  </w:style>
  <w:style w:type="character" w:styleId="a5">
    <w:name w:val="Hyperlink"/>
    <w:basedOn w:val="a0"/>
    <w:uiPriority w:val="99"/>
    <w:unhideWhenUsed/>
    <w:rsid w:val="000F63DC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043E03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043E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43E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2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43E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2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225"/>
    <w:rPr>
      <w:sz w:val="18"/>
      <w:szCs w:val="18"/>
    </w:rPr>
  </w:style>
  <w:style w:type="character" w:styleId="a5">
    <w:name w:val="Hyperlink"/>
    <w:basedOn w:val="a0"/>
    <w:uiPriority w:val="99"/>
    <w:unhideWhenUsed/>
    <w:rsid w:val="000F63DC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043E03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043E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43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2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1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45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7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10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8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50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958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sm.global/chin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FEFFB45D-0068-43B0-AEC8-D605F85598D1</dc:creator>
  <cp:keywords/>
  <dc:description/>
  <cp:lastModifiedBy>FEFFB45D-0068-43B0-AEC8-D605F85598D1</cp:lastModifiedBy>
  <cp:revision>25</cp:revision>
  <dcterms:created xsi:type="dcterms:W3CDTF">2020-04-03T03:21:00Z</dcterms:created>
  <dcterms:modified xsi:type="dcterms:W3CDTF">2020-12-08T07:33:00Z</dcterms:modified>
</cp:coreProperties>
</file>