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sz w:val="32"/>
          <w:szCs w:val="32"/>
        </w:rPr>
      </w:pPr>
      <w:r>
        <w:rPr>
          <w:rFonts w:hint="eastAsia"/>
          <w:b/>
          <w:sz w:val="32"/>
          <w:szCs w:val="32"/>
          <w:lang w:val="en-US" w:eastAsia="zh-CN"/>
        </w:rPr>
        <w:t>富海集团新能源控股</w:t>
      </w:r>
      <w:r>
        <w:rPr>
          <w:rFonts w:hint="eastAsia"/>
          <w:b/>
          <w:sz w:val="32"/>
          <w:szCs w:val="32"/>
        </w:rPr>
        <w:t>有限公司招聘简章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Adobe 仿宋 Std R" w:hAnsi="Adobe 仿宋 Std R" w:eastAsia="Adobe 仿宋 Std R" w:cs="Adobe 仿宋 Std R"/>
          <w:b/>
          <w:bCs/>
          <w:sz w:val="24"/>
          <w:szCs w:val="24"/>
          <w:highlight w:val="none"/>
          <w:lang w:val="en-US" w:eastAsia="zh-CN"/>
        </w:rPr>
      </w:pPr>
      <w:r>
        <w:rPr>
          <w:rFonts w:hint="eastAsia" w:ascii="Adobe 仿宋 Std R" w:hAnsi="Adobe 仿宋 Std R" w:eastAsia="Adobe 仿宋 Std R" w:cs="Adobe 仿宋 Std R"/>
          <w:sz w:val="24"/>
          <w:szCs w:val="24"/>
          <w:lang w:val="en-US" w:eastAsia="zh-CN"/>
        </w:rPr>
        <w:t>富海集团位于山东东营，是一家集</w:t>
      </w:r>
      <w:r>
        <w:rPr>
          <w:rFonts w:hint="eastAsia" w:ascii="Adobe 仿宋 Std R" w:hAnsi="Adobe 仿宋 Std R" w:eastAsia="Adobe 仿宋 Std R" w:cs="Adobe 仿宋 Std R"/>
          <w:b/>
          <w:bCs/>
          <w:sz w:val="24"/>
          <w:szCs w:val="24"/>
          <w:lang w:val="en-US" w:eastAsia="zh-CN"/>
        </w:rPr>
        <w:t>石油化工、煤化工、物流配送、油气站连锁经营及新能源利用</w:t>
      </w:r>
      <w:r>
        <w:rPr>
          <w:rFonts w:hint="eastAsia" w:ascii="Adobe 仿宋 Std R" w:hAnsi="Adobe 仿宋 Std R" w:eastAsia="Adobe 仿宋 Std R" w:cs="Adobe 仿宋 Std R"/>
          <w:sz w:val="24"/>
          <w:szCs w:val="24"/>
          <w:lang w:val="en-US" w:eastAsia="zh-CN"/>
        </w:rPr>
        <w:t>于一体的能源化工企业，</w:t>
      </w:r>
      <w:r>
        <w:rPr>
          <w:rFonts w:hint="eastAsia" w:ascii="Adobe 仿宋 Std R" w:hAnsi="Adobe 仿宋 Std R" w:eastAsia="Adobe 仿宋 Std R" w:cs="Adobe 仿宋 Std R"/>
          <w:b/>
          <w:bCs/>
          <w:sz w:val="24"/>
          <w:szCs w:val="24"/>
          <w:lang w:val="en-US" w:eastAsia="zh-CN"/>
        </w:rPr>
        <w:t>现有员工5800余人</w:t>
      </w:r>
      <w:r>
        <w:rPr>
          <w:rFonts w:hint="eastAsia" w:ascii="Adobe 仿宋 Std R" w:hAnsi="Adobe 仿宋 Std R" w:eastAsia="Adobe 仿宋 Std R" w:cs="Adobe 仿宋 Std R"/>
          <w:sz w:val="24"/>
          <w:szCs w:val="24"/>
          <w:lang w:val="en-US" w:eastAsia="zh-CN"/>
        </w:rPr>
        <w:t>。公司先后荣获全国质量标杆企业、国家高新技术企业、国家守</w:t>
      </w:r>
      <w:r>
        <w:rPr>
          <w:rFonts w:hint="eastAsia" w:ascii="Adobe 仿宋 Std R" w:hAnsi="Adobe 仿宋 Std R" w:eastAsia="Adobe 仿宋 Std R" w:cs="Adobe 仿宋 Std R"/>
          <w:sz w:val="24"/>
          <w:szCs w:val="24"/>
          <w:highlight w:val="none"/>
          <w:lang w:val="en-US" w:eastAsia="zh-CN"/>
        </w:rPr>
        <w:t>合同重信用企业等荣誉称号，连续10年跻身中国</w:t>
      </w:r>
      <w:r>
        <w:rPr>
          <w:rFonts w:hint="eastAsia" w:ascii="Adobe 仿宋 Std R" w:hAnsi="Adobe 仿宋 Std R" w:eastAsia="Adobe 仿宋 Std R" w:cs="Adobe 仿宋 Std R"/>
          <w:b w:val="0"/>
          <w:bCs w:val="0"/>
          <w:color w:val="auto"/>
          <w:sz w:val="24"/>
          <w:szCs w:val="24"/>
          <w:highlight w:val="none"/>
          <w:lang w:val="en-US" w:eastAsia="zh-CN"/>
        </w:rPr>
        <w:t>石油和化工</w:t>
      </w:r>
      <w:r>
        <w:rPr>
          <w:rFonts w:hint="eastAsia" w:ascii="Adobe 仿宋 Std R" w:hAnsi="Adobe 仿宋 Std R" w:eastAsia="Adobe 仿宋 Std R" w:cs="Adobe 仿宋 Std R"/>
          <w:sz w:val="24"/>
          <w:szCs w:val="24"/>
          <w:highlight w:val="none"/>
          <w:lang w:val="en-US" w:eastAsia="zh-CN"/>
        </w:rPr>
        <w:t>企业500强，</w:t>
      </w:r>
      <w:r>
        <w:rPr>
          <w:rFonts w:hint="eastAsia" w:ascii="Adobe 仿宋 Std R" w:hAnsi="Adobe 仿宋 Std R" w:eastAsia="Adobe 仿宋 Std R" w:cs="Adobe 仿宋 Std R"/>
          <w:b/>
          <w:bCs/>
          <w:sz w:val="24"/>
          <w:szCs w:val="24"/>
          <w:highlight w:val="none"/>
          <w:lang w:val="en-US" w:eastAsia="zh-CN"/>
        </w:rPr>
        <w:t>连续6年跻身中国企业500强。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Adobe 仿宋 Std R" w:hAnsi="Adobe 仿宋 Std R" w:eastAsia="Adobe 仿宋 Std R" w:cs="Adobe 仿宋 Std R"/>
          <w:sz w:val="24"/>
          <w:szCs w:val="24"/>
          <w:highlight w:val="yellow"/>
          <w:lang w:val="en-US" w:eastAsia="zh-CN"/>
        </w:rPr>
      </w:pPr>
      <w:r>
        <w:rPr>
          <w:rFonts w:hint="eastAsia" w:ascii="Adobe 仿宋 Std R" w:hAnsi="Adobe 仿宋 Std R" w:eastAsia="Adobe 仿宋 Std R" w:cs="Adobe 仿宋 Std R"/>
          <w:sz w:val="24"/>
          <w:szCs w:val="24"/>
          <w:highlight w:val="none"/>
          <w:lang w:val="en-US" w:eastAsia="zh-CN"/>
        </w:rPr>
        <w:t>富海集团深耕能源化工领域，致力于</w:t>
      </w:r>
      <w:r>
        <w:rPr>
          <w:rFonts w:hint="eastAsia" w:ascii="Adobe 仿宋 Std R" w:hAnsi="Adobe 仿宋 Std R" w:eastAsia="Adobe 仿宋 Std R" w:cs="Adobe 仿宋 Std R"/>
          <w:b/>
          <w:bCs/>
          <w:sz w:val="24"/>
          <w:szCs w:val="24"/>
          <w:highlight w:val="none"/>
          <w:lang w:val="en-US" w:eastAsia="zh-CN"/>
        </w:rPr>
        <w:t>搭建完整的石化上下游产业链条</w:t>
      </w:r>
      <w:r>
        <w:rPr>
          <w:rFonts w:hint="eastAsia" w:ascii="Adobe 仿宋 Std R" w:hAnsi="Adobe 仿宋 Std R" w:eastAsia="Adobe 仿宋 Std R" w:cs="Adobe 仿宋 Std R"/>
          <w:sz w:val="24"/>
          <w:szCs w:val="24"/>
          <w:highlight w:val="none"/>
          <w:lang w:val="en-US" w:eastAsia="zh-CN"/>
        </w:rPr>
        <w:t>，</w:t>
      </w:r>
      <w:r>
        <w:rPr>
          <w:rFonts w:hint="eastAsia" w:ascii="Adobe 仿宋 Std R" w:hAnsi="Adobe 仿宋 Std R" w:eastAsia="Adobe 仿宋 Std R" w:cs="Adobe 仿宋 Std R"/>
          <w:b/>
          <w:bCs/>
          <w:sz w:val="24"/>
          <w:szCs w:val="24"/>
          <w:highlight w:val="none"/>
          <w:lang w:val="en-US" w:eastAsia="zh-CN"/>
        </w:rPr>
        <w:t>获批进</w:t>
      </w:r>
      <w:r>
        <w:rPr>
          <w:rFonts w:hint="eastAsia" w:ascii="Adobe 仿宋 Std R" w:hAnsi="Adobe 仿宋 Std R" w:eastAsia="Adobe 仿宋 Std R" w:cs="Adobe 仿宋 Std R"/>
          <w:b/>
          <w:bCs/>
          <w:sz w:val="24"/>
          <w:szCs w:val="24"/>
          <w:lang w:val="en-US" w:eastAsia="zh-CN"/>
        </w:rPr>
        <w:t>口原油使用配额450万吨/年，</w:t>
      </w:r>
      <w:r>
        <w:rPr>
          <w:rFonts w:hint="eastAsia" w:ascii="Adobe 仿宋 Std R" w:hAnsi="Adobe 仿宋 Std R" w:eastAsia="Adobe 仿宋 Std R" w:cs="Adobe 仿宋 Std R"/>
          <w:sz w:val="24"/>
          <w:szCs w:val="24"/>
          <w:highlight w:val="none"/>
          <w:lang w:val="en-US" w:eastAsia="zh-CN"/>
        </w:rPr>
        <w:t>与中海油、中石化管输定额350万吨/年，且与中海油合作开发渤海湾、垦利、曹妃甸等区块油田。集团现拥有东营华联石油化工厂有限公司和东营联合石化有限责任公司两大生产基地，</w:t>
      </w:r>
      <w:r>
        <w:rPr>
          <w:rFonts w:hint="eastAsia" w:ascii="Adobe 仿宋 Std R" w:hAnsi="Adobe 仿宋 Std R" w:eastAsia="Adobe 仿宋 Std R" w:cs="Adobe 仿宋 Std R"/>
          <w:b/>
          <w:bCs/>
          <w:sz w:val="24"/>
          <w:szCs w:val="24"/>
          <w:highlight w:val="none"/>
          <w:lang w:val="en-US" w:eastAsia="zh-CN"/>
        </w:rPr>
        <w:t>原油一次加工能力1000万吨/年，</w:t>
      </w:r>
      <w:r>
        <w:rPr>
          <w:rFonts w:hint="eastAsia" w:ascii="Adobe 仿宋 Std R" w:hAnsi="Adobe 仿宋 Std R" w:eastAsia="Adobe 仿宋 Std R" w:cs="Adobe 仿宋 Std R"/>
          <w:sz w:val="24"/>
          <w:szCs w:val="24"/>
          <w:highlight w:val="none"/>
          <w:lang w:val="en-US" w:eastAsia="zh-CN"/>
        </w:rPr>
        <w:t>主要产品有对二甲苯、汽柴油、石油焦、硫磺、液化气等。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Adobe 仿宋 Std R" w:hAnsi="Adobe 仿宋 Std R" w:eastAsia="Adobe 仿宋 Std R" w:cs="Adobe 仿宋 Std R"/>
          <w:sz w:val="24"/>
          <w:szCs w:val="24"/>
          <w:lang w:val="en-US" w:eastAsia="zh-CN"/>
        </w:rPr>
      </w:pPr>
      <w:r>
        <w:rPr>
          <w:rFonts w:hint="eastAsia" w:ascii="Adobe 仿宋 Std R" w:hAnsi="Adobe 仿宋 Std R" w:eastAsia="Adobe 仿宋 Std R" w:cs="Adobe 仿宋 Std R"/>
          <w:sz w:val="24"/>
          <w:szCs w:val="24"/>
          <w:lang w:val="en-US" w:eastAsia="zh-CN"/>
        </w:rPr>
        <w:t>集团围绕千万吨石化产业基地，布局营销和物流网络，业务范围已延伸至华北、华东、华中、西北、西南等中国大部分地区。目前，</w:t>
      </w:r>
      <w:r>
        <w:rPr>
          <w:rFonts w:hint="eastAsia" w:ascii="Adobe 仿宋 Std R" w:hAnsi="Adobe 仿宋 Std R" w:eastAsia="Adobe 仿宋 Std R" w:cs="Adobe 仿宋 Std R"/>
          <w:b/>
          <w:bCs/>
          <w:sz w:val="24"/>
          <w:szCs w:val="24"/>
          <w:lang w:val="en-US" w:eastAsia="zh-CN"/>
        </w:rPr>
        <w:t>拥有自建、加盟、合作油气</w:t>
      </w:r>
      <w:r>
        <w:rPr>
          <w:rFonts w:hint="eastAsia" w:ascii="Adobe 仿宋 Std R" w:hAnsi="Adobe 仿宋 Std R" w:eastAsia="Adobe 仿宋 Std R" w:cs="Adobe 仿宋 Std R"/>
          <w:b/>
          <w:bCs/>
          <w:sz w:val="24"/>
          <w:szCs w:val="24"/>
          <w:highlight w:val="none"/>
          <w:lang w:val="en-US" w:eastAsia="zh-CN"/>
        </w:rPr>
        <w:t>站490余座，</w:t>
      </w:r>
      <w:r>
        <w:rPr>
          <w:rFonts w:hint="eastAsia" w:ascii="Adobe 仿宋 Std R" w:hAnsi="Adobe 仿宋 Std R" w:eastAsia="Adobe 仿宋 Std R" w:cs="Adobe 仿宋 Std R"/>
          <w:sz w:val="24"/>
          <w:szCs w:val="24"/>
          <w:lang w:val="en-US" w:eastAsia="zh-CN"/>
        </w:rPr>
        <w:t>是华北、西北区域成品油市场占有率最高、零售终端数量最多的民营炼化企业；建有东营河口、菏泽郓城两大物流园区，运营危化品运输车辆1600余台，形成了以连锁站点、终端合作伙伴为支撑的营销网络和以公路、铁路、港口、管输及罐区为纽带的运输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Adobe 仿宋 Std R" w:hAnsi="Adobe 仿宋 Std R" w:eastAsia="Adobe 仿宋 Std R" w:cs="Adobe 仿宋 Std R"/>
          <w:sz w:val="24"/>
          <w:szCs w:val="24"/>
          <w:lang w:val="en-US" w:eastAsia="zh-CN"/>
        </w:rPr>
      </w:pPr>
      <w:r>
        <w:rPr>
          <w:rFonts w:hint="eastAsia" w:ascii="Adobe 仿宋 Std R" w:hAnsi="Adobe 仿宋 Std R" w:eastAsia="Adobe 仿宋 Std R" w:cs="Adobe 仿宋 Std R"/>
          <w:sz w:val="24"/>
          <w:szCs w:val="24"/>
          <w:lang w:val="en-US" w:eastAsia="zh-CN"/>
        </w:rPr>
        <w:t>集团积极推动</w:t>
      </w:r>
      <w:r>
        <w:rPr>
          <w:rFonts w:hint="eastAsia" w:ascii="Adobe 仿宋 Std R" w:hAnsi="Adobe 仿宋 Std R" w:eastAsia="Adobe 仿宋 Std R" w:cs="Adobe 仿宋 Std R"/>
          <w:b/>
          <w:bCs/>
          <w:sz w:val="24"/>
          <w:szCs w:val="24"/>
          <w:lang w:val="en-US" w:eastAsia="zh-CN"/>
        </w:rPr>
        <w:t>创新发展战略</w:t>
      </w:r>
      <w:r>
        <w:rPr>
          <w:rFonts w:hint="eastAsia" w:ascii="Adobe 仿宋 Std R" w:hAnsi="Adobe 仿宋 Std R" w:eastAsia="Adobe 仿宋 Std R" w:cs="Adobe 仿宋 Std R"/>
          <w:sz w:val="24"/>
          <w:szCs w:val="24"/>
          <w:lang w:val="en-US" w:eastAsia="zh-CN"/>
        </w:rPr>
        <w:t>，构建“</w:t>
      </w:r>
      <w:r>
        <w:rPr>
          <w:rFonts w:hint="eastAsia" w:ascii="Adobe 仿宋 Std R" w:hAnsi="Adobe 仿宋 Std R" w:eastAsia="Adobe 仿宋 Std R" w:cs="Adobe 仿宋 Std R"/>
          <w:b/>
          <w:bCs/>
          <w:sz w:val="24"/>
          <w:szCs w:val="24"/>
          <w:lang w:val="en-US" w:eastAsia="zh-CN"/>
        </w:rPr>
        <w:t>一体研发、两地布局”研发体系</w:t>
      </w:r>
      <w:r>
        <w:rPr>
          <w:rFonts w:hint="eastAsia" w:ascii="Adobe 仿宋 Std R" w:hAnsi="Adobe 仿宋 Std R" w:eastAsia="Adobe 仿宋 Std R" w:cs="Adobe 仿宋 Std R"/>
          <w:sz w:val="24"/>
          <w:szCs w:val="24"/>
          <w:lang w:val="en-US" w:eastAsia="zh-CN"/>
        </w:rPr>
        <w:t>。富海研究院以东营为总部，在</w:t>
      </w:r>
      <w:r>
        <w:rPr>
          <w:rFonts w:hint="eastAsia" w:ascii="Adobe 仿宋 Std R" w:hAnsi="Adobe 仿宋 Std R" w:eastAsia="Adobe 仿宋 Std R" w:cs="Adobe 仿宋 Std R"/>
          <w:b/>
          <w:bCs/>
          <w:sz w:val="24"/>
          <w:szCs w:val="24"/>
          <w:lang w:val="en-US" w:eastAsia="zh-CN"/>
        </w:rPr>
        <w:t>东营市光谷未来城和上海金地威新虹桥科创园同时建有研发基</w:t>
      </w:r>
      <w:r>
        <w:rPr>
          <w:rFonts w:hint="eastAsia" w:ascii="Adobe 仿宋 Std R" w:hAnsi="Adobe 仿宋 Std R" w:eastAsia="Adobe 仿宋 Std R" w:cs="Adobe 仿宋 Std R"/>
          <w:sz w:val="24"/>
          <w:szCs w:val="24"/>
          <w:lang w:val="en-US" w:eastAsia="zh-CN"/>
        </w:rPr>
        <w:t>地，并在东营河口和东营港分别设立了研发成果转化生产基地。 研究院专注于完全生物降解塑料、特种工程塑料、差异化聚酯、功能性聚合物、特种纤维与薄膜等领域前沿科技，在有机合成、高分子聚合、聚合物改性等方面展开技术攻关，全力搭建“</w:t>
      </w:r>
      <w:r>
        <w:rPr>
          <w:rFonts w:hint="eastAsia" w:ascii="Adobe 仿宋 Std R" w:hAnsi="Adobe 仿宋 Std R" w:eastAsia="Adobe 仿宋 Std R" w:cs="Adobe 仿宋 Std R"/>
          <w:b/>
          <w:bCs/>
          <w:sz w:val="24"/>
          <w:szCs w:val="24"/>
          <w:lang w:val="en-US" w:eastAsia="zh-CN"/>
        </w:rPr>
        <w:t>基础化工原料—关键单体—高性能聚合物—终端应用开发</w:t>
      </w:r>
      <w:r>
        <w:rPr>
          <w:rFonts w:hint="eastAsia" w:ascii="Adobe 仿宋 Std R" w:hAnsi="Adobe 仿宋 Std R" w:eastAsia="Adobe 仿宋 Std R" w:cs="Adobe 仿宋 Std R"/>
          <w:sz w:val="24"/>
          <w:szCs w:val="24"/>
          <w:lang w:val="en-US" w:eastAsia="zh-CN"/>
        </w:rPr>
        <w:t>”产研结合价值链条。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Adobe 仿宋 Std R" w:hAnsi="Adobe 仿宋 Std R" w:eastAsia="Adobe 仿宋 Std R" w:cs="Adobe 仿宋 Std R"/>
          <w:b/>
          <w:bCs/>
          <w:sz w:val="24"/>
          <w:szCs w:val="24"/>
          <w:lang w:val="en-US" w:eastAsia="zh-CN"/>
        </w:rPr>
      </w:pPr>
      <w:r>
        <w:rPr>
          <w:rFonts w:hint="eastAsia" w:ascii="Adobe 仿宋 Std R" w:hAnsi="Adobe 仿宋 Std R" w:eastAsia="Adobe 仿宋 Std R" w:cs="Adobe 仿宋 Std R"/>
          <w:sz w:val="24"/>
          <w:szCs w:val="24"/>
          <w:lang w:val="en-US" w:eastAsia="zh-CN"/>
        </w:rPr>
        <w:t>当前，富海围绕“聚焦主业、平台赋能、竞合共生、品牌高端”的发展思路，按照“一体两翼”产业格局，全力实施渤海湾大湾区战略，打通芳烃烯烃产业链，迈入化工新材料领域。在东营港投资</w:t>
      </w:r>
      <w:r>
        <w:rPr>
          <w:rFonts w:hint="eastAsia" w:ascii="Adobe 仿宋 Std R" w:hAnsi="Adobe 仿宋 Std R" w:eastAsia="Adobe 仿宋 Std R" w:cs="Adobe 仿宋 Std R"/>
          <w:b/>
          <w:bCs/>
          <w:sz w:val="24"/>
          <w:szCs w:val="24"/>
          <w:lang w:val="en-US" w:eastAsia="zh-CN"/>
        </w:rPr>
        <w:t>186亿元建设200万吨/年对二甲苯、260万吨/年重油加氢裂化和250万吨/年PTA项目</w:t>
      </w:r>
      <w:r>
        <w:rPr>
          <w:rFonts w:hint="eastAsia" w:ascii="Adobe 仿宋 Std R" w:hAnsi="Adobe 仿宋 Std R" w:eastAsia="Adobe 仿宋 Std R" w:cs="Adobe 仿宋 Std R"/>
          <w:sz w:val="24"/>
          <w:szCs w:val="24"/>
          <w:lang w:val="en-US" w:eastAsia="zh-CN"/>
        </w:rPr>
        <w:t>；在</w:t>
      </w:r>
      <w:r>
        <w:rPr>
          <w:rFonts w:hint="eastAsia" w:ascii="Adobe 仿宋 Std R" w:hAnsi="Adobe 仿宋 Std R" w:eastAsia="Adobe 仿宋 Std R" w:cs="Adobe 仿宋 Std R"/>
          <w:b/>
          <w:bCs/>
          <w:sz w:val="24"/>
          <w:szCs w:val="24"/>
          <w:lang w:val="en-US" w:eastAsia="zh-CN"/>
        </w:rPr>
        <w:t>河北曹妃甸</w:t>
      </w:r>
      <w:r>
        <w:rPr>
          <w:rFonts w:hint="eastAsia" w:ascii="Adobe 仿宋 Std R" w:hAnsi="Adobe 仿宋 Std R" w:eastAsia="Adobe 仿宋 Std R" w:cs="Adobe 仿宋 Std R"/>
          <w:sz w:val="24"/>
          <w:szCs w:val="24"/>
          <w:lang w:val="en-US" w:eastAsia="zh-CN"/>
        </w:rPr>
        <w:t>石化基地规划建设多元化原料</w:t>
      </w:r>
      <w:r>
        <w:rPr>
          <w:rFonts w:hint="eastAsia" w:ascii="Adobe 仿宋 Std R" w:hAnsi="Adobe 仿宋 Std R" w:eastAsia="Adobe 仿宋 Std R" w:cs="Adobe 仿宋 Std R"/>
          <w:b/>
          <w:bCs/>
          <w:sz w:val="24"/>
          <w:szCs w:val="24"/>
          <w:lang w:val="en-US" w:eastAsia="zh-CN"/>
        </w:rPr>
        <w:t>制烯烃项目。</w:t>
      </w:r>
      <w:r>
        <w:rPr>
          <w:rFonts w:hint="eastAsia" w:ascii="Adobe 仿宋 Std R" w:hAnsi="Adobe 仿宋 Std R" w:eastAsia="Adobe 仿宋 Std R" w:cs="Adobe 仿宋 Std R"/>
          <w:sz w:val="24"/>
          <w:szCs w:val="24"/>
          <w:lang w:val="en-US" w:eastAsia="zh-CN"/>
        </w:rPr>
        <w:t>其中，东营港200万吨/年对二甲苯项目是山东省唯一列入《石化产业规划布局方案》的芳烃项目，该项目Ⅰ系列与260万吨/年重油加氢裂化项目已于2020年9月投产达效；</w:t>
      </w:r>
      <w:r>
        <w:rPr>
          <w:rFonts w:hint="eastAsia" w:ascii="Adobe 仿宋 Std R" w:hAnsi="Adobe 仿宋 Std R" w:eastAsia="Adobe 仿宋 Std R" w:cs="Adobe 仿宋 Std R"/>
          <w:b/>
          <w:bCs/>
          <w:sz w:val="24"/>
          <w:szCs w:val="24"/>
          <w:lang w:val="en-US" w:eastAsia="zh-CN"/>
        </w:rPr>
        <w:t>正在建设的250万吨/年PTA项目是山东省重点项目，单套规模国内最大，</w:t>
      </w:r>
      <w:r>
        <w:rPr>
          <w:rFonts w:hint="eastAsia" w:ascii="Adobe 仿宋 Std R" w:hAnsi="Adobe 仿宋 Std R" w:eastAsia="Adobe 仿宋 Std R" w:cs="Adobe 仿宋 Std R"/>
          <w:sz w:val="24"/>
          <w:szCs w:val="24"/>
          <w:lang w:val="en-US" w:eastAsia="zh-CN"/>
        </w:rPr>
        <w:t>将填补山东省PTA产能空白，率先补全“炼油—芳烃—聚酯”链条；</w:t>
      </w:r>
      <w:r>
        <w:rPr>
          <w:rFonts w:hint="eastAsia" w:ascii="Adobe 仿宋 Std R" w:hAnsi="Adobe 仿宋 Std R" w:eastAsia="Adobe 仿宋 Std R" w:cs="Adobe 仿宋 Std R"/>
          <w:b/>
          <w:bCs/>
          <w:sz w:val="24"/>
          <w:szCs w:val="24"/>
          <w:lang w:val="en-US" w:eastAsia="zh-CN"/>
        </w:rPr>
        <w:t>曹妃甸多元化原料制烯烃项目已经列入河北省和工信部重点项目。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Adobe 仿宋 Std R" w:hAnsi="Adobe 仿宋 Std R" w:eastAsia="Adobe 仿宋 Std R" w:cs="Adobe 仿宋 Std R"/>
          <w:sz w:val="24"/>
          <w:szCs w:val="24"/>
          <w:lang w:val="en-US" w:eastAsia="zh-CN"/>
        </w:rPr>
      </w:pPr>
      <w:r>
        <w:rPr>
          <w:rFonts w:hint="eastAsia" w:ascii="Adobe 仿宋 Std R" w:hAnsi="Adobe 仿宋 Std R" w:eastAsia="Adobe 仿宋 Std R" w:cs="Adobe 仿宋 Std R"/>
          <w:sz w:val="24"/>
          <w:szCs w:val="24"/>
          <w:lang w:val="en-US" w:eastAsia="zh-CN"/>
        </w:rPr>
        <w:t>放眼“十四五”，富海集团将坚定走炼化一体化道路，与国内外合作伙伴携手并进，努力成为能源化工领域价值链顶端的整合者、高附加值的创造者，打造专业化、集约化、高端化的千亿级能源化工产业集团。</w:t>
      </w:r>
    </w:p>
    <w:p>
      <w:pPr>
        <w:spacing w:line="360" w:lineRule="auto"/>
        <w:rPr>
          <w:b/>
          <w:sz w:val="28"/>
          <w:szCs w:val="28"/>
        </w:rPr>
      </w:pPr>
      <w:r>
        <w:rPr>
          <w:rFonts w:hint="eastAsia" w:ascii="宋体" w:hAnsi="宋体"/>
          <w:b/>
          <w:sz w:val="28"/>
          <w:szCs w:val="28"/>
        </w:rPr>
        <w:t>招聘岗位：</w:t>
      </w:r>
    </w:p>
    <w:tbl>
      <w:tblPr>
        <w:tblStyle w:val="5"/>
        <w:tblpPr w:leftFromText="180" w:rightFromText="180" w:vertAnchor="text" w:horzAnchor="page" w:tblpX="1600" w:tblpY="549"/>
        <w:tblOverlap w:val="never"/>
        <w:tblW w:w="9056" w:type="dxa"/>
        <w:tblInd w:w="0" w:type="dxa"/>
        <w:tblLayout w:type="autofit"/>
        <w:tblCellMar>
          <w:top w:w="0" w:type="dxa"/>
          <w:left w:w="0" w:type="dxa"/>
          <w:bottom w:w="0" w:type="dxa"/>
          <w:right w:w="0" w:type="dxa"/>
        </w:tblCellMar>
      </w:tblPr>
      <w:tblGrid>
        <w:gridCol w:w="1413"/>
        <w:gridCol w:w="1215"/>
        <w:gridCol w:w="5228"/>
        <w:gridCol w:w="1200"/>
      </w:tblGrid>
      <w:tr>
        <w:tblPrEx>
          <w:tblCellMar>
            <w:top w:w="0" w:type="dxa"/>
            <w:left w:w="0" w:type="dxa"/>
            <w:bottom w:w="0" w:type="dxa"/>
            <w:right w:w="0" w:type="dxa"/>
          </w:tblCellMar>
        </w:tblPrEx>
        <w:trPr>
          <w:trHeight w:val="412"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包图粗黑体" w:hAnsi="包图粗黑体" w:eastAsia="包图粗黑体" w:cs="包图粗黑体"/>
                <w:b/>
                <w:bCs w:val="0"/>
                <w:color w:val="auto"/>
                <w:sz w:val="28"/>
                <w:szCs w:val="28"/>
                <w:highlight w:val="none"/>
                <w:shd w:val="clear" w:color="auto" w:fill="auto"/>
              </w:rPr>
            </w:pPr>
            <w:r>
              <w:rPr>
                <w:rFonts w:hint="eastAsia" w:ascii="包图粗黑体" w:hAnsi="包图粗黑体" w:eastAsia="包图粗黑体" w:cs="包图粗黑体"/>
                <w:b/>
                <w:bCs w:val="0"/>
                <w:color w:val="auto"/>
                <w:kern w:val="0"/>
                <w:sz w:val="28"/>
                <w:szCs w:val="28"/>
                <w:highlight w:val="none"/>
                <w:shd w:val="clear" w:color="auto" w:fill="auto"/>
                <w:lang w:bidi="ar"/>
              </w:rPr>
              <w:t>岗位类别</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包图粗黑体" w:hAnsi="包图粗黑体" w:eastAsia="包图粗黑体" w:cs="包图粗黑体"/>
                <w:b/>
                <w:bCs w:val="0"/>
                <w:color w:val="auto"/>
                <w:sz w:val="28"/>
                <w:szCs w:val="28"/>
                <w:highlight w:val="none"/>
                <w:shd w:val="clear" w:color="auto" w:fill="auto"/>
              </w:rPr>
            </w:pPr>
            <w:r>
              <w:rPr>
                <w:rFonts w:hint="eastAsia" w:ascii="包图粗黑体" w:hAnsi="包图粗黑体" w:eastAsia="包图粗黑体" w:cs="包图粗黑体"/>
                <w:b/>
                <w:bCs w:val="0"/>
                <w:color w:val="auto"/>
                <w:kern w:val="0"/>
                <w:sz w:val="28"/>
                <w:szCs w:val="28"/>
                <w:highlight w:val="none"/>
                <w:shd w:val="clear" w:color="auto" w:fill="auto"/>
                <w:lang w:bidi="ar"/>
              </w:rPr>
              <w:t>学历</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包图粗黑体" w:hAnsi="包图粗黑体" w:eastAsia="包图粗黑体" w:cs="包图粗黑体"/>
                <w:b/>
                <w:bCs w:val="0"/>
                <w:color w:val="auto"/>
                <w:sz w:val="28"/>
                <w:szCs w:val="28"/>
                <w:highlight w:val="none"/>
                <w:shd w:val="clear" w:color="auto" w:fill="auto"/>
              </w:rPr>
            </w:pPr>
            <w:r>
              <w:rPr>
                <w:rFonts w:hint="eastAsia" w:ascii="包图粗黑体" w:hAnsi="包图粗黑体" w:eastAsia="包图粗黑体" w:cs="包图粗黑体"/>
                <w:b/>
                <w:bCs w:val="0"/>
                <w:color w:val="auto"/>
                <w:kern w:val="0"/>
                <w:sz w:val="28"/>
                <w:szCs w:val="28"/>
                <w:highlight w:val="none"/>
                <w:shd w:val="clear" w:color="auto" w:fill="auto"/>
                <w:lang w:bidi="ar"/>
              </w:rPr>
              <w:t>招聘专业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包图粗黑体" w:hAnsi="包图粗黑体" w:eastAsia="包图粗黑体" w:cs="包图粗黑体"/>
                <w:b/>
                <w:bCs w:val="0"/>
                <w:color w:val="auto"/>
                <w:sz w:val="28"/>
                <w:szCs w:val="28"/>
                <w:highlight w:val="none"/>
                <w:shd w:val="clear" w:color="auto" w:fill="auto"/>
              </w:rPr>
            </w:pPr>
            <w:r>
              <w:rPr>
                <w:rFonts w:hint="eastAsia" w:ascii="包图粗黑体" w:hAnsi="包图粗黑体" w:eastAsia="包图粗黑体" w:cs="包图粗黑体"/>
                <w:b/>
                <w:bCs w:val="0"/>
                <w:color w:val="auto"/>
                <w:kern w:val="0"/>
                <w:sz w:val="28"/>
                <w:szCs w:val="28"/>
                <w:highlight w:val="none"/>
                <w:shd w:val="clear" w:color="auto" w:fill="auto"/>
                <w:lang w:bidi="ar"/>
              </w:rPr>
              <w:t>人数</w:t>
            </w:r>
          </w:p>
        </w:tc>
      </w:tr>
      <w:tr>
        <w:tblPrEx>
          <w:tblCellMar>
            <w:top w:w="0" w:type="dxa"/>
            <w:left w:w="0" w:type="dxa"/>
            <w:bottom w:w="0" w:type="dxa"/>
            <w:right w:w="0" w:type="dxa"/>
          </w:tblCellMar>
        </w:tblPrEx>
        <w:trPr>
          <w:trHeight w:val="80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工艺操作类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sz w:val="21"/>
                <w:szCs w:val="21"/>
              </w:rPr>
            </w:pPr>
            <w:r>
              <w:rPr>
                <w:rFonts w:hint="eastAsia" w:ascii="黑体" w:hAnsi="宋体" w:eastAsia="黑体" w:cs="黑体"/>
                <w:i w:val="0"/>
                <w:iCs w:val="0"/>
                <w:color w:val="auto"/>
                <w:kern w:val="0"/>
                <w:sz w:val="21"/>
                <w:szCs w:val="21"/>
                <w:u w:val="none"/>
                <w:lang w:val="en-US" w:eastAsia="zh-CN" w:bidi="ar"/>
              </w:rPr>
              <w:t>化学工程与工艺、石油化工技术、化学、应用化学、高分子材料与化学、工业工程、轻化工程、环境工程等相关专业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30</w:t>
            </w:r>
            <w:bookmarkStart w:id="0" w:name="_GoBack"/>
            <w:bookmarkEnd w:id="0"/>
          </w:p>
        </w:tc>
      </w:tr>
      <w:tr>
        <w:tblPrEx>
          <w:tblCellMar>
            <w:top w:w="0" w:type="dxa"/>
            <w:left w:w="0" w:type="dxa"/>
            <w:bottom w:w="0" w:type="dxa"/>
            <w:right w:w="0" w:type="dxa"/>
          </w:tblCellMar>
        </w:tblPrEx>
        <w:trPr>
          <w:trHeight w:val="64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机械设备类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过程装备与控制工程、机械设计制造及其自动化、能源动力工程、轮机工程等相关专业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15</w:t>
            </w:r>
          </w:p>
        </w:tc>
      </w:tr>
      <w:tr>
        <w:tblPrEx>
          <w:tblCellMar>
            <w:top w:w="0" w:type="dxa"/>
            <w:left w:w="0" w:type="dxa"/>
            <w:bottom w:w="0" w:type="dxa"/>
            <w:right w:w="0" w:type="dxa"/>
          </w:tblCellMar>
        </w:tblPrEx>
        <w:trPr>
          <w:trHeight w:val="64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电气仪表类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自动化、电气工程及其自动化、测控技术与仪器、机电一体化等相关专业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21</w:t>
            </w:r>
          </w:p>
        </w:tc>
      </w:tr>
      <w:tr>
        <w:tblPrEx>
          <w:tblCellMar>
            <w:top w:w="0" w:type="dxa"/>
            <w:left w:w="0" w:type="dxa"/>
            <w:bottom w:w="0" w:type="dxa"/>
            <w:right w:w="0" w:type="dxa"/>
          </w:tblCellMar>
        </w:tblPrEx>
        <w:trPr>
          <w:trHeight w:val="64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油气储运类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油气储运、城市燃气等相关专业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34</w:t>
            </w:r>
          </w:p>
        </w:tc>
      </w:tr>
      <w:tr>
        <w:tblPrEx>
          <w:tblCellMar>
            <w:top w:w="0" w:type="dxa"/>
            <w:left w:w="0" w:type="dxa"/>
            <w:bottom w:w="0" w:type="dxa"/>
            <w:right w:w="0" w:type="dxa"/>
          </w:tblCellMar>
        </w:tblPrEx>
        <w:trPr>
          <w:trHeight w:val="64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市场营销类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kern w:val="0"/>
                <w:sz w:val="21"/>
                <w:szCs w:val="21"/>
                <w:lang w:bidi="ar"/>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市场营销、工商管理、电子商务、化学工程与工艺、统计学、数学、新闻传播等相关专业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19</w:t>
            </w:r>
          </w:p>
        </w:tc>
      </w:tr>
      <w:tr>
        <w:tblPrEx>
          <w:tblCellMar>
            <w:top w:w="0" w:type="dxa"/>
            <w:left w:w="0" w:type="dxa"/>
            <w:bottom w:w="0" w:type="dxa"/>
            <w:right w:w="0" w:type="dxa"/>
          </w:tblCellMar>
        </w:tblPrEx>
        <w:trPr>
          <w:trHeight w:val="64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物流管理类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物流管理、物流工程等相关专业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1</w:t>
            </w:r>
          </w:p>
        </w:tc>
      </w:tr>
      <w:tr>
        <w:tblPrEx>
          <w:tblCellMar>
            <w:top w:w="0" w:type="dxa"/>
            <w:left w:w="0" w:type="dxa"/>
            <w:bottom w:w="0" w:type="dxa"/>
            <w:right w:w="0" w:type="dxa"/>
          </w:tblCellMar>
        </w:tblPrEx>
        <w:trPr>
          <w:trHeight w:val="64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财会金融类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黑体" w:hAnsi="宋体" w:eastAsia="黑体" w:cs="黑体"/>
                <w:color w:val="auto"/>
                <w:kern w:val="0"/>
                <w:sz w:val="21"/>
                <w:szCs w:val="21"/>
                <w:lang w:val="en-US" w:bidi="ar"/>
              </w:rPr>
            </w:pPr>
            <w:r>
              <w:rPr>
                <w:rFonts w:hint="eastAsia" w:ascii="黑体" w:hAnsi="宋体" w:eastAsia="黑体" w:cs="黑体"/>
                <w:i w:val="0"/>
                <w:iCs w:val="0"/>
                <w:color w:val="auto"/>
                <w:kern w:val="0"/>
                <w:sz w:val="21"/>
                <w:szCs w:val="21"/>
                <w:u w:val="none"/>
                <w:lang w:val="en-US" w:eastAsia="zh-CN" w:bidi="ar"/>
              </w:rPr>
              <w:t>财务管理、会计学、审计学等相关专业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5</w:t>
            </w:r>
          </w:p>
        </w:tc>
      </w:tr>
      <w:tr>
        <w:tblPrEx>
          <w:tblCellMar>
            <w:top w:w="0" w:type="dxa"/>
            <w:left w:w="0" w:type="dxa"/>
            <w:bottom w:w="0" w:type="dxa"/>
            <w:right w:w="0" w:type="dxa"/>
          </w:tblCellMar>
        </w:tblPrEx>
        <w:trPr>
          <w:trHeight w:val="65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信息技术类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计算机科学与技术、软件工程、网络工程等相关专业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2</w:t>
            </w:r>
          </w:p>
        </w:tc>
      </w:tr>
      <w:tr>
        <w:tblPrEx>
          <w:tblCellMar>
            <w:top w:w="0" w:type="dxa"/>
            <w:left w:w="0" w:type="dxa"/>
            <w:bottom w:w="0" w:type="dxa"/>
            <w:right w:w="0" w:type="dxa"/>
          </w:tblCellMar>
        </w:tblPrEx>
        <w:trPr>
          <w:trHeight w:val="65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kern w:val="0"/>
                <w:sz w:val="21"/>
                <w:szCs w:val="21"/>
                <w:lang w:bidi="ar"/>
              </w:rPr>
            </w:pPr>
            <w:r>
              <w:rPr>
                <w:rFonts w:hint="eastAsia" w:ascii="黑体" w:hAnsi="宋体" w:eastAsia="黑体" w:cs="黑体"/>
                <w:color w:val="auto"/>
                <w:kern w:val="0"/>
                <w:sz w:val="21"/>
                <w:szCs w:val="21"/>
                <w:lang w:val="en-US" w:eastAsia="zh-CN" w:bidi="ar"/>
              </w:rPr>
              <w:t>人力资源类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人力资源管理、工商管理、公共事业管理、劳动和社会保障、英语等相关专业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3</w:t>
            </w:r>
          </w:p>
        </w:tc>
      </w:tr>
      <w:tr>
        <w:tblPrEx>
          <w:tblCellMar>
            <w:top w:w="0" w:type="dxa"/>
            <w:left w:w="0" w:type="dxa"/>
            <w:bottom w:w="0" w:type="dxa"/>
            <w:right w:w="0" w:type="dxa"/>
          </w:tblCellMar>
        </w:tblPrEx>
        <w:trPr>
          <w:trHeight w:val="48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kern w:val="2"/>
                <w:sz w:val="21"/>
                <w:szCs w:val="21"/>
                <w:lang w:val="en-US" w:eastAsia="zh-CN" w:bidi="ar-SA"/>
              </w:rPr>
            </w:pPr>
            <w:r>
              <w:rPr>
                <w:rFonts w:hint="eastAsia" w:ascii="黑体" w:hAnsi="宋体" w:eastAsia="黑体" w:cs="黑体"/>
                <w:color w:val="auto"/>
                <w:kern w:val="0"/>
                <w:sz w:val="21"/>
                <w:szCs w:val="21"/>
                <w:lang w:bidi="ar"/>
              </w:rPr>
              <w:t>行政管理类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kern w:val="2"/>
                <w:sz w:val="21"/>
                <w:szCs w:val="21"/>
                <w:lang w:val="en-US" w:eastAsia="zh-CN" w:bidi="ar-SA"/>
              </w:rPr>
            </w:pPr>
            <w:r>
              <w:rPr>
                <w:rFonts w:hint="eastAsia" w:ascii="黑体" w:hAnsi="宋体" w:eastAsia="黑体" w:cs="黑体"/>
                <w:color w:val="auto"/>
                <w:kern w:val="0"/>
                <w:sz w:val="21"/>
                <w:szCs w:val="21"/>
                <w:lang w:bidi="ar"/>
              </w:rPr>
              <w:t>本科及以上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val="en-US" w:eastAsia="zh-CN" w:bidi="ar"/>
              </w:rPr>
            </w:pPr>
            <w:r>
              <w:rPr>
                <w:rFonts w:hint="eastAsia" w:ascii="黑体" w:hAnsi="宋体" w:eastAsia="黑体" w:cs="黑体"/>
                <w:i w:val="0"/>
                <w:iCs w:val="0"/>
                <w:color w:val="auto"/>
                <w:kern w:val="0"/>
                <w:sz w:val="21"/>
                <w:szCs w:val="21"/>
                <w:u w:val="none"/>
                <w:lang w:val="en-US" w:eastAsia="zh-CN" w:bidi="ar"/>
              </w:rPr>
              <w:t>汉语言文学、秘书学、播音主持等相关专业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黑体" w:hAnsi="宋体" w:eastAsia="黑体" w:cs="黑体"/>
                <w:color w:val="auto"/>
                <w:kern w:val="2"/>
                <w:sz w:val="21"/>
                <w:szCs w:val="21"/>
                <w:lang w:val="en-US" w:eastAsia="zh-CN" w:bidi="ar-SA"/>
              </w:rPr>
            </w:pPr>
            <w:r>
              <w:rPr>
                <w:rFonts w:hint="eastAsia" w:ascii="黑体" w:hAnsi="宋体" w:eastAsia="黑体" w:cs="黑体"/>
                <w:color w:val="auto"/>
                <w:kern w:val="2"/>
                <w:sz w:val="21"/>
                <w:szCs w:val="21"/>
                <w:lang w:val="en-US" w:eastAsia="zh-CN" w:bidi="ar-SA"/>
              </w:rPr>
              <w:t>2</w:t>
            </w:r>
          </w:p>
        </w:tc>
      </w:tr>
      <w:tr>
        <w:tblPrEx>
          <w:tblCellMar>
            <w:top w:w="0" w:type="dxa"/>
            <w:left w:w="0" w:type="dxa"/>
            <w:bottom w:w="0" w:type="dxa"/>
            <w:right w:w="0" w:type="dxa"/>
          </w:tblCellMar>
        </w:tblPrEx>
        <w:trPr>
          <w:trHeight w:val="80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研发类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auto"/>
                <w:sz w:val="21"/>
                <w:szCs w:val="21"/>
              </w:rPr>
            </w:pPr>
            <w:r>
              <w:rPr>
                <w:rFonts w:hint="eastAsia" w:ascii="黑体" w:hAnsi="宋体" w:eastAsia="黑体" w:cs="黑体"/>
                <w:color w:val="auto"/>
                <w:kern w:val="0"/>
                <w:sz w:val="21"/>
                <w:szCs w:val="21"/>
                <w:lang w:bidi="ar"/>
              </w:rPr>
              <w:t>硕士及以上</w:t>
            </w:r>
          </w:p>
        </w:tc>
        <w:tc>
          <w:tcPr>
            <w:tcW w:w="52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color w:val="auto"/>
                <w:kern w:val="0"/>
                <w:sz w:val="21"/>
                <w:szCs w:val="21"/>
                <w:lang w:bidi="ar"/>
              </w:rPr>
            </w:pPr>
            <w:r>
              <w:rPr>
                <w:rFonts w:hint="eastAsia" w:ascii="黑体" w:hAnsi="宋体" w:eastAsia="黑体" w:cs="黑体"/>
                <w:i w:val="0"/>
                <w:iCs w:val="0"/>
                <w:color w:val="auto"/>
                <w:kern w:val="0"/>
                <w:sz w:val="21"/>
                <w:szCs w:val="21"/>
                <w:u w:val="none"/>
                <w:lang w:val="en-US" w:eastAsia="zh-CN" w:bidi="ar"/>
              </w:rPr>
              <w:t>高分子物理、化学工程与工艺、高分子材料工程、高分子合成技术、材料加工工程、分析化学、高分子材料分析与测试等相关专业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黑体" w:hAnsi="宋体" w:eastAsia="黑体" w:cs="黑体"/>
                <w:color w:val="auto"/>
                <w:sz w:val="21"/>
                <w:szCs w:val="21"/>
                <w:lang w:eastAsia="zh-CN"/>
              </w:rPr>
            </w:pPr>
            <w:r>
              <w:rPr>
                <w:rFonts w:hint="eastAsia" w:ascii="黑体" w:hAnsi="宋体" w:eastAsia="黑体" w:cs="黑体"/>
                <w:color w:val="auto"/>
                <w:kern w:val="0"/>
                <w:sz w:val="21"/>
                <w:szCs w:val="21"/>
                <w:lang w:val="en-US" w:eastAsia="zh-CN" w:bidi="ar"/>
              </w:rPr>
              <w:t>6</w:t>
            </w:r>
          </w:p>
        </w:tc>
      </w:tr>
    </w:tbl>
    <w:p>
      <w:pPr>
        <w:spacing w:line="360" w:lineRule="auto"/>
        <w:rPr>
          <w:b/>
          <w:sz w:val="28"/>
          <w:szCs w:val="28"/>
        </w:rPr>
      </w:pPr>
      <w:r>
        <w:rPr>
          <w:rFonts w:hint="eastAsia"/>
          <w:b/>
          <w:sz w:val="28"/>
          <w:szCs w:val="28"/>
        </w:rPr>
        <w:t>福利待遇：</w:t>
      </w:r>
    </w:p>
    <w:p>
      <w:pPr>
        <w:spacing w:line="360" w:lineRule="auto"/>
        <w:ind w:firstLine="480" w:firstLineChars="200"/>
        <w:rPr>
          <w:rFonts w:hint="default" w:ascii="宋体" w:hAnsi="宋体"/>
          <w:sz w:val="24"/>
          <w:szCs w:val="24"/>
          <w:lang w:val="en-US" w:eastAsia="zh-CN"/>
        </w:rPr>
      </w:pPr>
      <w:r>
        <w:rPr>
          <w:rFonts w:hint="eastAsia" w:ascii="宋体" w:hAnsi="宋体"/>
          <w:sz w:val="24"/>
          <w:szCs w:val="24"/>
        </w:rPr>
        <w:t>五险一金</w:t>
      </w:r>
      <w:r>
        <w:rPr>
          <w:rFonts w:hint="eastAsia" w:ascii="宋体" w:hAnsi="宋体"/>
          <w:sz w:val="24"/>
          <w:szCs w:val="24"/>
          <w:lang w:eastAsia="zh-CN"/>
        </w:rPr>
        <w:t>、</w:t>
      </w:r>
      <w:r>
        <w:rPr>
          <w:rFonts w:hint="eastAsia" w:ascii="宋体" w:hAnsi="宋体"/>
          <w:sz w:val="24"/>
          <w:szCs w:val="24"/>
          <w:lang w:val="en-US" w:eastAsia="zh-CN"/>
        </w:rPr>
        <w:t>学历补贴、高温补贴、通讯补贴、免费</w:t>
      </w:r>
      <w:r>
        <w:rPr>
          <w:rFonts w:hint="eastAsia" w:ascii="宋体" w:hAnsi="宋体"/>
          <w:sz w:val="24"/>
          <w:szCs w:val="24"/>
        </w:rPr>
        <w:t>公寓</w:t>
      </w:r>
      <w:r>
        <w:rPr>
          <w:rFonts w:hint="eastAsia" w:ascii="宋体" w:hAnsi="宋体"/>
          <w:sz w:val="24"/>
          <w:szCs w:val="24"/>
          <w:lang w:eastAsia="zh-CN"/>
        </w:rPr>
        <w:t>、</w:t>
      </w:r>
      <w:r>
        <w:rPr>
          <w:rFonts w:hint="eastAsia" w:ascii="宋体" w:hAnsi="宋体"/>
          <w:sz w:val="24"/>
          <w:szCs w:val="24"/>
          <w:lang w:val="en-US" w:eastAsia="zh-CN"/>
        </w:rPr>
        <w:t>成本价餐厅、健康体检、班车接送、</w:t>
      </w:r>
      <w:r>
        <w:rPr>
          <w:rFonts w:hint="eastAsia" w:ascii="宋体" w:hAnsi="宋体"/>
          <w:sz w:val="24"/>
          <w:szCs w:val="24"/>
        </w:rPr>
        <w:t>节日福利</w:t>
      </w:r>
      <w:r>
        <w:rPr>
          <w:rFonts w:hint="eastAsia" w:ascii="宋体" w:hAnsi="宋体"/>
          <w:sz w:val="24"/>
          <w:szCs w:val="24"/>
          <w:lang w:eastAsia="zh-CN"/>
        </w:rPr>
        <w:t>、</w:t>
      </w:r>
      <w:r>
        <w:rPr>
          <w:rFonts w:hint="eastAsia" w:ascii="宋体" w:hAnsi="宋体"/>
          <w:sz w:val="24"/>
          <w:szCs w:val="24"/>
          <w:lang w:val="en-US" w:eastAsia="zh-CN"/>
        </w:rPr>
        <w:t>带薪培训、带薪年假等福利</w:t>
      </w:r>
    </w:p>
    <w:p>
      <w:pPr>
        <w:spacing w:line="360" w:lineRule="auto"/>
        <w:ind w:firstLine="555"/>
        <w:rPr>
          <w:rFonts w:hint="eastAsia" w:ascii="宋体" w:hAnsi="宋体"/>
          <w:sz w:val="24"/>
          <w:szCs w:val="24"/>
        </w:rPr>
      </w:pPr>
      <w:r>
        <w:rPr>
          <w:rFonts w:hint="eastAsia" w:ascii="宋体" w:hAnsi="宋体"/>
          <w:sz w:val="24"/>
          <w:szCs w:val="24"/>
        </w:rPr>
        <w:t>集团执行岗位能力鉴定薪资体系，</w:t>
      </w:r>
      <w:r>
        <w:rPr>
          <w:rFonts w:hint="eastAsia" w:ascii="宋体" w:hAnsi="宋体"/>
          <w:sz w:val="24"/>
          <w:szCs w:val="24"/>
          <w:lang w:val="en-US" w:eastAsia="zh-CN"/>
        </w:rPr>
        <w:t>随着员工能力及经验的不断提升，薪资进行动态调整</w:t>
      </w:r>
      <w:r>
        <w:rPr>
          <w:rFonts w:hint="eastAsia" w:ascii="宋体" w:hAnsi="宋体"/>
          <w:sz w:val="24"/>
          <w:szCs w:val="24"/>
        </w:rPr>
        <w:t>。新员工</w:t>
      </w:r>
      <w:r>
        <w:rPr>
          <w:rFonts w:hint="eastAsia" w:ascii="宋体" w:hAnsi="宋体"/>
          <w:sz w:val="24"/>
          <w:szCs w:val="24"/>
          <w:lang w:val="en-US" w:eastAsia="zh-CN"/>
        </w:rPr>
        <w:t>综合税后</w:t>
      </w:r>
      <w:r>
        <w:rPr>
          <w:rFonts w:hint="eastAsia" w:ascii="宋体" w:hAnsi="宋体"/>
          <w:sz w:val="24"/>
          <w:szCs w:val="24"/>
        </w:rPr>
        <w:t>年收入预计</w:t>
      </w:r>
      <w:r>
        <w:rPr>
          <w:rFonts w:hint="eastAsia" w:ascii="宋体" w:hAnsi="宋体"/>
          <w:sz w:val="24"/>
          <w:szCs w:val="24"/>
          <w:lang w:val="en-US" w:eastAsia="zh-CN"/>
        </w:rPr>
        <w:t>9</w:t>
      </w:r>
      <w:r>
        <w:rPr>
          <w:rFonts w:hint="eastAsia" w:ascii="宋体" w:hAnsi="宋体"/>
          <w:sz w:val="24"/>
          <w:szCs w:val="24"/>
        </w:rPr>
        <w:t>万元-1</w:t>
      </w:r>
      <w:r>
        <w:rPr>
          <w:rFonts w:hint="eastAsia" w:ascii="宋体" w:hAnsi="宋体"/>
          <w:sz w:val="24"/>
          <w:szCs w:val="24"/>
          <w:lang w:val="en-US" w:eastAsia="zh-CN"/>
        </w:rPr>
        <w:t>3</w:t>
      </w:r>
      <w:r>
        <w:rPr>
          <w:rFonts w:hint="eastAsia" w:ascii="宋体" w:hAnsi="宋体"/>
          <w:sz w:val="24"/>
          <w:szCs w:val="24"/>
        </w:rPr>
        <w:t>万元。</w:t>
      </w:r>
    </w:p>
    <w:p>
      <w:pPr>
        <w:spacing w:line="360" w:lineRule="auto"/>
        <w:rPr>
          <w:rFonts w:hint="eastAsia" w:ascii="宋体" w:hAnsi="宋体"/>
          <w:sz w:val="24"/>
          <w:szCs w:val="24"/>
        </w:rPr>
      </w:pPr>
      <w:r>
        <w:rPr>
          <w:rFonts w:hint="eastAsia"/>
          <w:b/>
          <w:sz w:val="28"/>
          <w:szCs w:val="28"/>
        </w:rPr>
        <w:t>联系方式：</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富海集团新能源控股有限公司</w:t>
      </w:r>
    </w:p>
    <w:p>
      <w:pPr>
        <w:spacing w:line="360" w:lineRule="auto"/>
        <w:ind w:firstLine="480" w:firstLineChars="200"/>
        <w:rPr>
          <w:rFonts w:hint="default"/>
          <w:lang w:val="en-US" w:eastAsia="zh-CN"/>
        </w:rPr>
      </w:pPr>
      <w:r>
        <w:rPr>
          <w:rFonts w:hint="eastAsia" w:ascii="宋体" w:hAnsi="宋体"/>
          <w:sz w:val="24"/>
          <w:szCs w:val="24"/>
        </w:rPr>
        <w:t>公司官网：</w:t>
      </w:r>
      <w:r>
        <w:rPr>
          <w:rFonts w:hint="eastAsia" w:ascii="宋体" w:hAnsi="宋体"/>
          <w:sz w:val="24"/>
          <w:szCs w:val="24"/>
        </w:rPr>
        <w:fldChar w:fldCharType="begin"/>
      </w:r>
      <w:r>
        <w:rPr>
          <w:rFonts w:hint="eastAsia" w:ascii="宋体" w:hAnsi="宋体"/>
          <w:sz w:val="24"/>
          <w:szCs w:val="24"/>
        </w:rPr>
        <w:instrText xml:space="preserve"> HYPERLINK "http://www.china-fuhai.com；" </w:instrText>
      </w:r>
      <w:r>
        <w:rPr>
          <w:rFonts w:hint="eastAsia" w:ascii="宋体" w:hAnsi="宋体"/>
          <w:sz w:val="24"/>
          <w:szCs w:val="24"/>
        </w:rPr>
        <w:fldChar w:fldCharType="separate"/>
      </w:r>
      <w:r>
        <w:rPr>
          <w:rStyle w:val="8"/>
          <w:rFonts w:hint="eastAsia" w:ascii="宋体" w:hAnsi="宋体"/>
          <w:sz w:val="24"/>
          <w:szCs w:val="24"/>
        </w:rPr>
        <w:t>www.china-fuhai.com；</w:t>
      </w:r>
      <w:r>
        <w:rPr>
          <w:rFonts w:hint="eastAsia" w:ascii="宋体" w:hAnsi="宋体"/>
          <w:sz w:val="24"/>
          <w:szCs w:val="24"/>
        </w:rPr>
        <w:fldChar w:fldCharType="end"/>
      </w:r>
    </w:p>
    <w:p>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联系人：付经理、赵经理、闫经理</w:t>
      </w:r>
    </w:p>
    <w:p>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2022富海校招交流QQ群：368888797</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招聘邮箱：fuhaizhaopin@126.com</w:t>
      </w:r>
      <w:r>
        <w:rPr>
          <w:rFonts w:hint="eastAsia" w:ascii="宋体" w:hAnsi="宋体"/>
          <w:sz w:val="24"/>
          <w:szCs w:val="24"/>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校园招聘答疑电话：0546-6083667</w:t>
      </w:r>
    </w:p>
    <w:p>
      <w:pPr>
        <w:spacing w:line="360" w:lineRule="auto"/>
        <w:ind w:firstLine="420" w:firstLineChars="200"/>
      </w:pPr>
      <w:r>
        <w:drawing>
          <wp:anchor distT="0" distB="0" distL="114300" distR="114300" simplePos="0" relativeHeight="251659264" behindDoc="0" locked="0" layoutInCell="1" allowOverlap="1">
            <wp:simplePos x="0" y="0"/>
            <wp:positionH relativeFrom="column">
              <wp:posOffset>313055</wp:posOffset>
            </wp:positionH>
            <wp:positionV relativeFrom="paragraph">
              <wp:posOffset>360680</wp:posOffset>
            </wp:positionV>
            <wp:extent cx="3829050" cy="1697355"/>
            <wp:effectExtent l="0" t="0" r="0" b="1714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3829050" cy="1697355"/>
                    </a:xfrm>
                    <a:prstGeom prst="rect">
                      <a:avLst/>
                    </a:prstGeom>
                    <a:noFill/>
                    <a:ln>
                      <a:noFill/>
                    </a:ln>
                  </pic:spPr>
                </pic:pic>
              </a:graphicData>
            </a:graphic>
          </wp:anchor>
        </w:drawing>
      </w:r>
      <w:r>
        <w:rPr>
          <w:rFonts w:hint="eastAsia" w:ascii="宋体" w:hAnsi="宋体"/>
          <w:sz w:val="24"/>
          <w:szCs w:val="24"/>
        </w:rPr>
        <w:t>公司地址：山东省东营市河口区黄河路37号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包图粗黑体">
    <w:altName w:val="黑体"/>
    <w:panose1 w:val="020008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58"/>
    <w:rsid w:val="00010CD8"/>
    <w:rsid w:val="00026F8B"/>
    <w:rsid w:val="0006027A"/>
    <w:rsid w:val="00066797"/>
    <w:rsid w:val="00066CDE"/>
    <w:rsid w:val="00080827"/>
    <w:rsid w:val="000905D7"/>
    <w:rsid w:val="000A173B"/>
    <w:rsid w:val="000A6D77"/>
    <w:rsid w:val="000A78EA"/>
    <w:rsid w:val="000F4520"/>
    <w:rsid w:val="001176B6"/>
    <w:rsid w:val="001448E6"/>
    <w:rsid w:val="001804A2"/>
    <w:rsid w:val="00190A2F"/>
    <w:rsid w:val="001942B1"/>
    <w:rsid w:val="00194B9A"/>
    <w:rsid w:val="001B6178"/>
    <w:rsid w:val="001F1429"/>
    <w:rsid w:val="00265EB2"/>
    <w:rsid w:val="002C41E0"/>
    <w:rsid w:val="002D0F9E"/>
    <w:rsid w:val="002D10F7"/>
    <w:rsid w:val="002D6DCA"/>
    <w:rsid w:val="002E525B"/>
    <w:rsid w:val="002F5F80"/>
    <w:rsid w:val="002F6D5A"/>
    <w:rsid w:val="00312888"/>
    <w:rsid w:val="00365A0E"/>
    <w:rsid w:val="00393109"/>
    <w:rsid w:val="00395770"/>
    <w:rsid w:val="004058D3"/>
    <w:rsid w:val="00413D5A"/>
    <w:rsid w:val="00455858"/>
    <w:rsid w:val="00464B61"/>
    <w:rsid w:val="004771FE"/>
    <w:rsid w:val="004B1147"/>
    <w:rsid w:val="004C0BD4"/>
    <w:rsid w:val="004F61D9"/>
    <w:rsid w:val="00507DB9"/>
    <w:rsid w:val="00533440"/>
    <w:rsid w:val="0057023C"/>
    <w:rsid w:val="005A7732"/>
    <w:rsid w:val="005D33C3"/>
    <w:rsid w:val="005F7818"/>
    <w:rsid w:val="0060438B"/>
    <w:rsid w:val="00623AD4"/>
    <w:rsid w:val="006314F8"/>
    <w:rsid w:val="00650F8B"/>
    <w:rsid w:val="006661D3"/>
    <w:rsid w:val="00680F71"/>
    <w:rsid w:val="006C38D7"/>
    <w:rsid w:val="006E7F1A"/>
    <w:rsid w:val="00712323"/>
    <w:rsid w:val="00792D4A"/>
    <w:rsid w:val="007A5F88"/>
    <w:rsid w:val="007B1B74"/>
    <w:rsid w:val="007C2D3D"/>
    <w:rsid w:val="007C5D88"/>
    <w:rsid w:val="007F7A9D"/>
    <w:rsid w:val="00822500"/>
    <w:rsid w:val="008255CB"/>
    <w:rsid w:val="008528BB"/>
    <w:rsid w:val="00853AAC"/>
    <w:rsid w:val="00863CA7"/>
    <w:rsid w:val="00880F20"/>
    <w:rsid w:val="008C33EA"/>
    <w:rsid w:val="008E5499"/>
    <w:rsid w:val="00903688"/>
    <w:rsid w:val="0091022D"/>
    <w:rsid w:val="009317F1"/>
    <w:rsid w:val="00936FBD"/>
    <w:rsid w:val="00973D19"/>
    <w:rsid w:val="009A0040"/>
    <w:rsid w:val="009B1275"/>
    <w:rsid w:val="009B1764"/>
    <w:rsid w:val="009B7A46"/>
    <w:rsid w:val="009D2A20"/>
    <w:rsid w:val="009E1A0E"/>
    <w:rsid w:val="00A40A5A"/>
    <w:rsid w:val="00A4382D"/>
    <w:rsid w:val="00A9518B"/>
    <w:rsid w:val="00AD74DB"/>
    <w:rsid w:val="00B0632C"/>
    <w:rsid w:val="00B1416C"/>
    <w:rsid w:val="00B25AF1"/>
    <w:rsid w:val="00B35483"/>
    <w:rsid w:val="00B52DE3"/>
    <w:rsid w:val="00B66002"/>
    <w:rsid w:val="00B66F85"/>
    <w:rsid w:val="00B85D35"/>
    <w:rsid w:val="00B86CC2"/>
    <w:rsid w:val="00B973B7"/>
    <w:rsid w:val="00BE0F3A"/>
    <w:rsid w:val="00C05CB3"/>
    <w:rsid w:val="00C13CD0"/>
    <w:rsid w:val="00C26219"/>
    <w:rsid w:val="00C3071D"/>
    <w:rsid w:val="00C337FC"/>
    <w:rsid w:val="00C5523F"/>
    <w:rsid w:val="00C6274C"/>
    <w:rsid w:val="00C63B15"/>
    <w:rsid w:val="00C96543"/>
    <w:rsid w:val="00C968A4"/>
    <w:rsid w:val="00CC0780"/>
    <w:rsid w:val="00CC1098"/>
    <w:rsid w:val="00CF1A5F"/>
    <w:rsid w:val="00CF57C7"/>
    <w:rsid w:val="00D263E4"/>
    <w:rsid w:val="00D5263C"/>
    <w:rsid w:val="00D56030"/>
    <w:rsid w:val="00D70D58"/>
    <w:rsid w:val="00D92B6B"/>
    <w:rsid w:val="00DD61F2"/>
    <w:rsid w:val="00DF4B1D"/>
    <w:rsid w:val="00DF6EE6"/>
    <w:rsid w:val="00E13809"/>
    <w:rsid w:val="00E2134B"/>
    <w:rsid w:val="00E268A2"/>
    <w:rsid w:val="00E95A27"/>
    <w:rsid w:val="00EC6472"/>
    <w:rsid w:val="00F107C8"/>
    <w:rsid w:val="00F41B40"/>
    <w:rsid w:val="00F530FB"/>
    <w:rsid w:val="00F878EA"/>
    <w:rsid w:val="00F977FD"/>
    <w:rsid w:val="00FD1F00"/>
    <w:rsid w:val="00FD7F5B"/>
    <w:rsid w:val="11A839DB"/>
    <w:rsid w:val="455A6E5E"/>
    <w:rsid w:val="4C5C00FB"/>
    <w:rsid w:val="583A22BB"/>
    <w:rsid w:val="60AA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228</Words>
  <Characters>1302</Characters>
  <Lines>10</Lines>
  <Paragraphs>3</Paragraphs>
  <TotalTime>3</TotalTime>
  <ScaleCrop>false</ScaleCrop>
  <LinksUpToDate>false</LinksUpToDate>
  <CharactersWithSpaces>1527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2021-09-29T09:16:00Z</dcterms:created>
  <dc:creator>李梦娇</dc:creator>
  <cp:lastModifiedBy>圆  大大</cp:lastModifiedBy>
  <dcterms:modified xsi:type="dcterms:W3CDTF">2021-12-16T03:18:39Z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DAE42AAD964C40F3B1261121664CA425</vt:lpwstr>
  </property>
</Properties>
</file>