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海南西部中心医院（上海九院集团-儋州医联体）简介</w:t>
      </w:r>
    </w:p>
    <w:p>
      <w:pPr>
        <w:spacing w:line="560" w:lineRule="exact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FangSong_GB2312"/>
          <w:sz w:val="28"/>
          <w:szCs w:val="28"/>
        </w:rPr>
      </w:pPr>
      <w:r>
        <w:rPr>
          <w:rFonts w:ascii="仿宋" w:hAnsi="仿宋" w:eastAsia="仿宋" w:cs="FangSong_GB2312"/>
          <w:sz w:val="28"/>
          <w:szCs w:val="28"/>
        </w:rPr>
        <w:pict>
          <v:shape id="_x0000_s2050" o:spid="_x0000_s2050" o:spt="3" type="#_x0000_t3" style="position:absolute;left:0pt;margin-left:214.6pt;margin-top:120.3pt;height:33.5pt;width:133.95pt;z-index:251659264;mso-width-relative:page;mso-height-relative:page;" fillcolor="#FFE599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博士学位2</w:t>
                  </w:r>
                  <w:r>
                    <w:rPr>
                      <w:rFonts w:hint="eastAsia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</w:rPr>
                    <w:t>人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FangSong_GB2312"/>
          <w:sz w:val="28"/>
          <w:szCs w:val="28"/>
        </w:rPr>
        <w:t>海南西部中心医院是海南西部地区建设规模大、医疗设备先进、专科开设齐全、人员配置充足的三级甲等综合医院。在</w:t>
      </w:r>
      <w:r>
        <w:rPr>
          <w:rFonts w:hint="eastAsia" w:ascii="仿宋" w:hAnsi="仿宋" w:eastAsia="仿宋" w:cs="FangSong_GB2312"/>
          <w:color w:val="FF0000"/>
          <w:sz w:val="32"/>
          <w:szCs w:val="32"/>
        </w:rPr>
        <w:t>上海交通大学医学院附属第九人民医院</w:t>
      </w:r>
      <w:r>
        <w:rPr>
          <w:rFonts w:hint="eastAsia" w:ascii="仿宋" w:hAnsi="仿宋" w:eastAsia="仿宋" w:cs="FangSong_GB2312"/>
          <w:sz w:val="28"/>
          <w:szCs w:val="28"/>
        </w:rPr>
        <w:t>的长期深度帮扶下，医院影响力已辐射周边市县，在西部地区具有极高的医疗声誉，是海南省西部区域医疗中心。</w:t>
      </w:r>
    </w:p>
    <w:p>
      <w:pPr>
        <w:spacing w:line="400" w:lineRule="exact"/>
        <w:ind w:firstLine="560" w:firstLineChars="200"/>
        <w:rPr>
          <w:rFonts w:ascii="仿宋" w:hAnsi="仿宋" w:eastAsia="仿宋" w:cs="FangSong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仿宋" w:hAnsi="仿宋" w:eastAsia="仿宋" w:cs="FangSong_GB2312"/>
          <w:sz w:val="28"/>
          <w:szCs w:val="28"/>
        </w:rPr>
      </w:pPr>
      <w:r>
        <w:rPr>
          <w:rFonts w:ascii="仿宋" w:hAnsi="仿宋" w:eastAsia="仿宋" w:cs="FangSong_GB2312"/>
          <w:sz w:val="28"/>
          <w:szCs w:val="28"/>
        </w:rPr>
        <w:pict>
          <v:shape id="_x0000_s2051" o:spid="_x0000_s2051" o:spt="3" type="#_x0000_t3" style="position:absolute;left:0pt;margin-left:214.6pt;margin-top:14.75pt;height:33.5pt;width:133.95pt;z-index:251660288;mso-width-relative:page;mso-height-relative:page;" fillcolor="#FFE599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硕士学位</w:t>
                  </w:r>
                  <w:r>
                    <w:rPr>
                      <w:rFonts w:hint="eastAsia"/>
                      <w:lang w:val="en-US" w:eastAsia="zh-CN"/>
                    </w:rPr>
                    <w:t>63</w:t>
                  </w:r>
                  <w:r>
                    <w:rPr>
                      <w:rFonts w:hint="eastAsia"/>
                    </w:rPr>
                    <w:t>人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FangSong_GB2312"/>
          <w:sz w:val="28"/>
          <w:szCs w:val="28"/>
        </w:rPr>
        <w:t>医院院现有职工</w:t>
      </w:r>
      <w:r>
        <w:rPr>
          <w:rFonts w:hint="eastAsia" w:ascii="仿宋" w:hAnsi="仿宋" w:eastAsia="仿宋" w:cs="FangSong_GB2312"/>
          <w:color w:val="FF0000"/>
          <w:sz w:val="36"/>
          <w:szCs w:val="36"/>
        </w:rPr>
        <w:t>1400</w:t>
      </w:r>
      <w:r>
        <w:rPr>
          <w:rFonts w:hint="eastAsia" w:ascii="仿宋" w:hAnsi="仿宋" w:eastAsia="仿宋" w:cs="FangSong_GB2312"/>
          <w:sz w:val="28"/>
          <w:szCs w:val="28"/>
        </w:rPr>
        <w:t>余人</w:t>
      </w:r>
    </w:p>
    <w:p>
      <w:pPr>
        <w:spacing w:line="400" w:lineRule="exact"/>
        <w:ind w:firstLine="4480" w:firstLineChars="1600"/>
        <w:rPr>
          <w:rFonts w:ascii="仿宋" w:hAnsi="仿宋" w:eastAsia="仿宋" w:cs="FangSong_GB2312"/>
          <w:sz w:val="28"/>
          <w:szCs w:val="28"/>
        </w:rPr>
      </w:pPr>
    </w:p>
    <w:p>
      <w:pPr>
        <w:spacing w:line="400" w:lineRule="exact"/>
        <w:ind w:firstLine="4480" w:firstLineChars="1600"/>
        <w:rPr>
          <w:rFonts w:ascii="仿宋" w:hAnsi="仿宋" w:eastAsia="仿宋" w:cs="FangSong_GB2312"/>
          <w:sz w:val="28"/>
          <w:szCs w:val="28"/>
        </w:rPr>
      </w:pPr>
    </w:p>
    <w:tbl>
      <w:tblPr>
        <w:tblStyle w:val="6"/>
        <w:tblW w:w="93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80"/>
        <w:gridCol w:w="5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40"/>
                <w:szCs w:val="40"/>
              </w:rPr>
              <w:t>建立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院士创新团队</w:t>
            </w:r>
          </w:p>
        </w:tc>
        <w:tc>
          <w:tcPr>
            <w:tcW w:w="5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省内首家张志愿院士口腔颌面外科创新团队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海南省临床医学中心</w:t>
            </w: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（口腔学科）省内唯一的省级临床医学中心建设单位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国家级认证</w:t>
            </w: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胸痛中心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6个省级诊治中心</w:t>
            </w: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口腔颌面外科诊治中心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整复外科诊治中心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骨关节外科诊治中心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听力障碍诊治中心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危重新生儿救治中心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危重孕产妇救治中心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4个市级诊治中心</w:t>
            </w: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心脑血管介入诊治中心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创伤急救诊治中心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产前诊断诊治中心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肿瘤诊治诊治中心</w:t>
            </w:r>
          </w:p>
        </w:tc>
      </w:tr>
    </w:tbl>
    <w:p>
      <w:pPr>
        <w:ind w:firstLine="560" w:firstLineChars="200"/>
        <w:rPr>
          <w:rFonts w:ascii="仿宋" w:hAnsi="仿宋" w:eastAsia="仿宋" w:cs="FangSong_GB2312"/>
          <w:sz w:val="28"/>
          <w:szCs w:val="28"/>
        </w:rPr>
      </w:pPr>
      <w:r>
        <w:rPr>
          <w:rFonts w:hint="eastAsia" w:ascii="仿宋" w:hAnsi="仿宋" w:eastAsia="仿宋" w:cs="FangSong_GB2312"/>
          <w:sz w:val="28"/>
          <w:szCs w:val="28"/>
        </w:rPr>
        <w:t>在上海九院先后派遣的30余名常驻专家帮扶下，各专业技术水平在海南省西部地区逐步处于领先地位，部分技术水平达到省内领先地位，凸显了海南省西部区域医疗中心的技术平台优势，合作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FangSong_GB2312"/>
          <w:sz w:val="28"/>
          <w:szCs w:val="28"/>
        </w:rPr>
        <w:t>年内开展多项新技术，其中多例手术为海南省首例、海南西部地区首例，填补了琼西地区乃至海南省的技术空白，惠及海南西部地区患者。</w:t>
      </w:r>
    </w:p>
    <w:p>
      <w:pPr>
        <w:ind w:firstLine="560" w:firstLineChars="200"/>
        <w:rPr>
          <w:rFonts w:ascii="仿宋" w:hAnsi="仿宋" w:eastAsia="仿宋" w:cs="FangSong_GB2312"/>
          <w:sz w:val="28"/>
          <w:szCs w:val="28"/>
        </w:rPr>
      </w:pPr>
      <w:r>
        <w:rPr>
          <w:rFonts w:hint="eastAsia" w:ascii="仿宋" w:hAnsi="仿宋" w:eastAsia="仿宋" w:cs="FangSong_GB2312"/>
          <w:sz w:val="28"/>
          <w:szCs w:val="28"/>
        </w:rPr>
        <w:t>医院十四五规划总体谋划：以打造海南西部区域医疗中心为主线，形成一院两区大格局。</w:t>
      </w:r>
      <w:r>
        <w:rPr>
          <w:rFonts w:ascii="仿宋" w:hAnsi="仿宋" w:eastAsia="仿宋" w:cs="FangSong_GB2312"/>
          <w:sz w:val="28"/>
          <w:szCs w:val="28"/>
        </w:rPr>
        <w:t>结合海南自由贸易港政策优势，打造成为海南地区具备顶尖医学学科群，医疗、教学、科研全方面发展，综合实力强大，影响力辐射全岛的三级甲等综合性医院，并力争成为国内顶尖医学高校附属医院。主院区位于海南省儋州市主城区，占地面积约</w:t>
      </w:r>
      <w:r>
        <w:rPr>
          <w:rFonts w:hint="eastAsia" w:ascii="仿宋" w:hAnsi="仿宋" w:eastAsia="仿宋" w:cs="FangSong_GB2312"/>
          <w:sz w:val="28"/>
          <w:szCs w:val="28"/>
        </w:rPr>
        <w:t>240.6</w:t>
      </w:r>
      <w:r>
        <w:rPr>
          <w:rFonts w:ascii="仿宋" w:hAnsi="仿宋" w:eastAsia="仿宋" w:cs="FangSong_GB2312"/>
          <w:sz w:val="28"/>
          <w:szCs w:val="28"/>
        </w:rPr>
        <w:t>亩，建筑面积约2</w:t>
      </w:r>
      <w:r>
        <w:rPr>
          <w:rFonts w:hint="eastAsia" w:ascii="仿宋" w:hAnsi="仿宋" w:eastAsia="仿宋" w:cs="FangSong_GB2312"/>
          <w:sz w:val="28"/>
          <w:szCs w:val="28"/>
        </w:rPr>
        <w:t>1</w:t>
      </w:r>
      <w:r>
        <w:rPr>
          <w:rFonts w:ascii="仿宋" w:hAnsi="仿宋" w:eastAsia="仿宋" w:cs="FangSong_GB2312"/>
          <w:sz w:val="28"/>
          <w:szCs w:val="28"/>
        </w:rPr>
        <w:t>万平方，核定住院床位1600张。</w:t>
      </w:r>
      <w:r>
        <w:rPr>
          <w:rFonts w:hint="eastAsia" w:ascii="仿宋" w:hAnsi="仿宋" w:eastAsia="仿宋" w:cs="FangSong_GB2312"/>
          <w:sz w:val="28"/>
          <w:szCs w:val="28"/>
        </w:rPr>
        <w:t>滨海院区位于儋州市白马井镇，占地面积约</w:t>
      </w:r>
      <w:r>
        <w:rPr>
          <w:rFonts w:ascii="仿宋" w:hAnsi="仿宋" w:eastAsia="仿宋" w:cs="FangSong_GB2312"/>
          <w:sz w:val="28"/>
          <w:szCs w:val="28"/>
        </w:rPr>
        <w:t>300亩，一期建筑面积12万平方，核定住院床位500张。滨海院区</w:t>
      </w:r>
      <w:r>
        <w:rPr>
          <w:rFonts w:hint="eastAsia" w:ascii="仿宋" w:hAnsi="仿宋" w:eastAsia="仿宋" w:cs="FangSong_GB2312"/>
          <w:sz w:val="28"/>
          <w:szCs w:val="28"/>
        </w:rPr>
        <w:t>将</w:t>
      </w:r>
      <w:r>
        <w:rPr>
          <w:rFonts w:ascii="仿宋" w:hAnsi="仿宋" w:eastAsia="仿宋" w:cs="FangSong_GB2312"/>
          <w:sz w:val="28"/>
          <w:szCs w:val="28"/>
        </w:rPr>
        <w:t>依托</w:t>
      </w:r>
      <w:r>
        <w:rPr>
          <w:rFonts w:hint="eastAsia" w:ascii="仿宋" w:hAnsi="仿宋" w:eastAsia="仿宋" w:cs="FangSong_GB2312"/>
          <w:sz w:val="28"/>
          <w:szCs w:val="28"/>
        </w:rPr>
        <w:t>两</w:t>
      </w:r>
      <w:r>
        <w:rPr>
          <w:rFonts w:ascii="仿宋" w:hAnsi="仿宋" w:eastAsia="仿宋" w:cs="FangSong_GB2312"/>
          <w:sz w:val="28"/>
          <w:szCs w:val="28"/>
        </w:rPr>
        <w:t>院区整体医疗综合实力，</w:t>
      </w:r>
      <w:r>
        <w:rPr>
          <w:rFonts w:hint="eastAsia" w:ascii="仿宋" w:hAnsi="仿宋" w:eastAsia="仿宋" w:cs="FangSong_GB2312"/>
          <w:sz w:val="28"/>
          <w:szCs w:val="28"/>
        </w:rPr>
        <w:t>结合国内</w:t>
      </w:r>
      <w:r>
        <w:rPr>
          <w:rFonts w:ascii="仿宋" w:hAnsi="仿宋" w:eastAsia="仿宋" w:cs="FangSong_GB2312"/>
          <w:sz w:val="28"/>
          <w:szCs w:val="28"/>
        </w:rPr>
        <w:t>优质资源建设疾病诊疗中心，</w:t>
      </w:r>
      <w:r>
        <w:rPr>
          <w:rFonts w:hint="eastAsia" w:ascii="仿宋" w:hAnsi="仿宋" w:eastAsia="仿宋" w:cs="FangSong_GB2312"/>
          <w:sz w:val="28"/>
          <w:szCs w:val="28"/>
        </w:rPr>
        <w:t>利用</w:t>
      </w:r>
      <w:r>
        <w:rPr>
          <w:rFonts w:ascii="仿宋" w:hAnsi="仿宋" w:eastAsia="仿宋" w:cs="FangSong_GB2312"/>
          <w:sz w:val="28"/>
          <w:szCs w:val="28"/>
        </w:rPr>
        <w:t>海南自贸港政策优势，配备国内外尖端医疗设备，打造海南地区医疗技术高原项目和高峰项目。</w:t>
      </w:r>
    </w:p>
    <w:p>
      <w:pPr>
        <w:spacing w:line="480" w:lineRule="exact"/>
        <w:ind w:firstLine="560" w:firstLineChars="200"/>
        <w:rPr>
          <w:rFonts w:ascii="仿宋" w:hAnsi="仿宋" w:eastAsia="仿宋" w:cs="FangSong_GB2312"/>
          <w:sz w:val="28"/>
          <w:szCs w:val="28"/>
        </w:rPr>
      </w:pPr>
      <w:r>
        <w:rPr>
          <w:rFonts w:hint="eastAsia" w:ascii="仿宋" w:hAnsi="仿宋" w:eastAsia="仿宋" w:cs="FangSong_GB2312"/>
          <w:sz w:val="28"/>
          <w:szCs w:val="28"/>
        </w:rPr>
        <w:t>为进一步拓宽选人用人渠道，充实配齐我院各类卫生专业技术人员，我院现计划面向社会公开招聘和考核招聘编外专业技术人员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200</w:t>
      </w:r>
      <w:r>
        <w:rPr>
          <w:rFonts w:hint="eastAsia" w:ascii="仿宋" w:hAnsi="仿宋" w:eastAsia="仿宋" w:cs="FangSong_GB2312"/>
          <w:sz w:val="28"/>
          <w:szCs w:val="28"/>
        </w:rPr>
        <w:t>名。</w:t>
      </w:r>
    </w:p>
    <w:tbl>
      <w:tblPr>
        <w:tblStyle w:val="6"/>
        <w:tblW w:w="89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820"/>
        <w:gridCol w:w="2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仿宋_GB2312" w:hAnsi="Tahoma" w:eastAsia="方正仿宋_GB2312" w:cs="Tahoma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仿宋_GB2312" w:hAnsi="Tahoma" w:eastAsia="方正仿宋_GB2312" w:cs="Tahoma"/>
                <w:b/>
                <w:bCs/>
                <w:color w:val="auto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2312" w:hAnsi="Tahoma" w:eastAsia="方正仿宋_GB2312" w:cs="Tahom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b/>
                <w:bCs/>
                <w:color w:val="auto"/>
                <w:kern w:val="0"/>
                <w:sz w:val="24"/>
              </w:rPr>
              <w:t>学历要求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2312" w:hAnsi="Tahoma" w:eastAsia="方正仿宋_GB2312" w:cs="Tahom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b/>
                <w:bCs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2312" w:hAnsi="Tahoma" w:eastAsia="方正仿宋_GB2312" w:cs="Tahom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b/>
                <w:bCs/>
                <w:color w:val="auto"/>
                <w:kern w:val="0"/>
                <w:sz w:val="24"/>
              </w:rPr>
              <w:t>科室岗位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2312" w:hAnsi="Tahoma" w:eastAsia="方正仿宋_GB2312" w:cs="Tahom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b/>
                <w:bCs/>
                <w:color w:val="auto"/>
                <w:kern w:val="0"/>
                <w:sz w:val="24"/>
              </w:rPr>
              <w:t>年龄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2312" w:hAnsi="Tahoma" w:eastAsia="方正仿宋_GB2312" w:cs="Tahom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b/>
                <w:bCs/>
                <w:color w:val="auto"/>
                <w:kern w:val="0"/>
                <w:sz w:val="24"/>
              </w:rPr>
              <w:t>人数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2312" w:hAnsi="Tahoma" w:eastAsia="方正仿宋_GB2312" w:cs="Tahom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b/>
                <w:bCs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2312" w:hAnsi="Tahoma" w:eastAsia="方正仿宋_GB2312" w:cs="Tahoma"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临床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住院医师、初级技师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2312" w:hAnsi="Tahoma" w:eastAsia="方正仿宋_GB2312" w:cs="Tahoma"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本科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学士学位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2312" w:hAnsi="Tahoma" w:eastAsia="方正仿宋_GB2312" w:cs="Tahoma"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临床医学类、口腔医学类或医学技术类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2312" w:hAnsi="Tahoma" w:eastAsia="方正仿宋_GB2312" w:cs="Tahoma"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临床医技各科室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2312" w:hAnsi="Tahoma" w:eastAsia="方正仿宋_GB2312" w:cs="Tahoma"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30岁及以下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2312" w:hAnsi="Tahoma" w:eastAsia="方正仿宋_GB2312" w:cs="Tahoma"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90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方正仿宋_GB2312" w:hAnsi="Tahoma" w:eastAsia="方正仿宋_GB2312" w:cs="Tahoma"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医师岗位需规培，硕士优先；科研型硕士无规培要求，但需有一定科研经历和至少第一作者发表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核心期刊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论文一篇。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统计、病理、公共卫生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与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预防医学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本科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学士学位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临床医学类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病理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eastAsia="zh-CN"/>
              </w:rPr>
              <w:t>）、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公共卫生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与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预防医学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统计学类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病理、病案室、院感办、疾控科、医务部、科研部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30岁及以下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预防医学、公共卫生要求硕士研究生以上学历。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护理岗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本科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学士学位</w:t>
            </w: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护理学类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临床医技护理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</w:rPr>
              <w:t>30岁及以下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Tahoma" w:eastAsia="方正仿宋_GB2312" w:cs="Tahoma"/>
                <w:color w:val="auto"/>
                <w:kern w:val="0"/>
                <w:sz w:val="24"/>
                <w:lang w:val="en-US" w:eastAsia="zh-CN"/>
              </w:rPr>
              <w:t>按我院公众号发布公告为准</w:t>
            </w:r>
          </w:p>
        </w:tc>
      </w:tr>
    </w:tbl>
    <w:p>
      <w:pPr>
        <w:pStyle w:val="2"/>
        <w:rPr>
          <w:rFonts w:hint="eastAsia"/>
        </w:rPr>
      </w:pPr>
    </w:p>
    <w:p>
      <w:pPr>
        <w:spacing w:line="480" w:lineRule="exact"/>
        <w:ind w:firstLine="560" w:firstLineChars="200"/>
        <w:rPr>
          <w:rFonts w:hint="eastAsia" w:ascii="仿宋" w:hAnsi="仿宋" w:eastAsia="仿宋" w:cs="FangSong_GB2312"/>
          <w:sz w:val="28"/>
          <w:szCs w:val="28"/>
          <w:lang w:eastAsia="zh-CN"/>
        </w:rPr>
      </w:pP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岗位条件：历届生均要求近3年连续在三甲医院工作经验或经历，</w:t>
      </w:r>
      <w:r>
        <w:rPr>
          <w:rFonts w:hint="eastAsia" w:ascii="仿宋" w:hAnsi="仿宋" w:eastAsia="仿宋" w:cs="FangSong_GB2312"/>
          <w:sz w:val="28"/>
          <w:szCs w:val="28"/>
        </w:rPr>
        <w:t>应聘人员简历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初筛合格将通知考试</w:t>
      </w:r>
      <w:r>
        <w:rPr>
          <w:rFonts w:hint="eastAsia" w:ascii="仿宋" w:hAnsi="仿宋" w:eastAsia="仿宋" w:cs="FangSong_GB2312"/>
          <w:sz w:val="28"/>
          <w:szCs w:val="28"/>
        </w:rPr>
        <w:t>，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不合格者不另行通知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 w:cs="FangSong_GB2312"/>
          <w:sz w:val="28"/>
          <w:szCs w:val="28"/>
        </w:rPr>
      </w:pPr>
      <w:r>
        <w:rPr>
          <w:rFonts w:ascii="仿宋" w:hAnsi="仿宋" w:eastAsia="仿宋" w:cs="FangSong_GB2312"/>
          <w:sz w:val="28"/>
          <w:szCs w:val="28"/>
        </w:rPr>
        <w:t>福利待遇</w:t>
      </w:r>
      <w:r>
        <w:rPr>
          <w:rFonts w:hint="eastAsia" w:ascii="仿宋" w:hAnsi="仿宋" w:eastAsia="仿宋" w:cs="FangSong_GB2312"/>
          <w:sz w:val="28"/>
          <w:szCs w:val="28"/>
        </w:rPr>
        <w:t>：</w:t>
      </w:r>
    </w:p>
    <w:p>
      <w:pPr>
        <w:spacing w:line="480" w:lineRule="exact"/>
        <w:ind w:firstLine="560" w:firstLineChars="200"/>
        <w:rPr>
          <w:rFonts w:ascii="仿宋" w:hAnsi="仿宋" w:eastAsia="仿宋" w:cs="FangSong_GB2312"/>
          <w:sz w:val="28"/>
          <w:szCs w:val="28"/>
        </w:rPr>
      </w:pPr>
      <w:r>
        <w:rPr>
          <w:rFonts w:hint="eastAsia" w:ascii="仿宋" w:hAnsi="仿宋" w:eastAsia="仿宋" w:cs="FangSong_GB2312"/>
          <w:sz w:val="28"/>
          <w:szCs w:val="28"/>
        </w:rPr>
        <w:t>1、签约聘用，必须在用</w:t>
      </w:r>
      <w:bookmarkStart w:id="0" w:name="_GoBack"/>
      <w:bookmarkEnd w:id="0"/>
      <w:r>
        <w:rPr>
          <w:rFonts w:hint="eastAsia" w:ascii="仿宋" w:hAnsi="仿宋" w:eastAsia="仿宋" w:cs="FangSong_GB2312"/>
          <w:sz w:val="28"/>
          <w:szCs w:val="28"/>
        </w:rPr>
        <w:t>人单位从事应聘岗位工作满5年以上；</w:t>
      </w:r>
      <w:r>
        <w:rPr>
          <w:rFonts w:hint="eastAsia" w:ascii="仿宋" w:hAnsi="仿宋" w:eastAsia="仿宋" w:cs="FangSong_GB2312"/>
          <w:sz w:val="28"/>
          <w:szCs w:val="28"/>
        </w:rPr>
        <w:br w:type="textWrapping"/>
      </w:r>
      <w:r>
        <w:rPr>
          <w:rFonts w:hint="eastAsia" w:ascii="仿宋" w:hAnsi="仿宋" w:eastAsia="仿宋" w:cs="FangSong_GB2312"/>
          <w:sz w:val="28"/>
          <w:szCs w:val="28"/>
        </w:rPr>
        <w:t xml:space="preserve">    2、待遇：含工资、绩效、带薪休假福利等，具体参照海南省事业单位相关政策执行。符合条件者可享有安家费、生活和住房补贴、科研经费等，具体面议。</w:t>
      </w:r>
    </w:p>
    <w:p>
      <w:pPr>
        <w:spacing w:line="480" w:lineRule="exact"/>
        <w:ind w:firstLine="562" w:firstLineChars="200"/>
        <w:rPr>
          <w:rFonts w:ascii="仿宋" w:hAnsi="仿宋" w:eastAsia="仿宋" w:cs="FangSong_GB2312"/>
          <w:sz w:val="28"/>
          <w:szCs w:val="28"/>
        </w:rPr>
      </w:pPr>
      <w:r>
        <w:rPr>
          <w:rFonts w:hint="eastAsia" w:ascii="仿宋" w:hAnsi="仿宋" w:eastAsia="仿宋" w:cs="FangSong_GB2312"/>
          <w:b/>
          <w:bCs/>
          <w:sz w:val="28"/>
          <w:szCs w:val="28"/>
        </w:rPr>
        <w:t>研究生学历及硕士学位人员：</w:t>
      </w:r>
      <w:r>
        <w:rPr>
          <w:rFonts w:hint="eastAsia" w:ascii="仿宋" w:hAnsi="仿宋" w:eastAsia="仿宋" w:cs="FangSong_GB2312"/>
          <w:sz w:val="28"/>
          <w:szCs w:val="28"/>
        </w:rPr>
        <w:t>薪资+10万元补贴+海南省及儋州市人才待遇补贴（30万）。</w:t>
      </w:r>
    </w:p>
    <w:p>
      <w:pPr>
        <w:spacing w:line="480" w:lineRule="exact"/>
        <w:ind w:firstLine="562" w:firstLineChars="200"/>
        <w:rPr>
          <w:rFonts w:ascii="仿宋" w:hAnsi="仿宋" w:eastAsia="仿宋" w:cs="FangSong_GB2312"/>
          <w:sz w:val="28"/>
          <w:szCs w:val="28"/>
        </w:rPr>
      </w:pPr>
      <w:r>
        <w:rPr>
          <w:rFonts w:hint="eastAsia" w:ascii="仿宋" w:hAnsi="仿宋" w:eastAsia="仿宋" w:cs="FangSong_GB2312"/>
          <w:b/>
          <w:bCs/>
          <w:sz w:val="28"/>
          <w:szCs w:val="28"/>
        </w:rPr>
        <w:t>研究生学历及博士学位人员：</w:t>
      </w:r>
      <w:r>
        <w:rPr>
          <w:rFonts w:hint="eastAsia" w:ascii="仿宋" w:hAnsi="仿宋" w:eastAsia="仿宋" w:cs="FangSong_GB2312"/>
          <w:sz w:val="28"/>
          <w:szCs w:val="28"/>
        </w:rPr>
        <w:t>薪资+20万元补贴+海南省及儋州市人才待遇补贴（59万）。</w:t>
      </w:r>
    </w:p>
    <w:p>
      <w:pPr>
        <w:spacing w:line="480" w:lineRule="exact"/>
        <w:ind w:firstLine="560" w:firstLineChars="200"/>
        <w:rPr>
          <w:rFonts w:ascii="仿宋" w:hAnsi="仿宋" w:eastAsia="仿宋" w:cs="FangSong_GB2312"/>
          <w:sz w:val="28"/>
          <w:szCs w:val="28"/>
        </w:rPr>
      </w:pPr>
      <w:r>
        <w:rPr>
          <w:rFonts w:hint="eastAsia" w:ascii="仿宋" w:hAnsi="仿宋" w:eastAsia="仿宋" w:cs="FangSong_GB2312"/>
          <w:sz w:val="28"/>
          <w:szCs w:val="28"/>
        </w:rPr>
        <w:t xml:space="preserve">联系方式：报名咨询： 梁老师联系方式：0898—23884803 </w:t>
      </w:r>
    </w:p>
    <w:p>
      <w:pPr>
        <w:spacing w:line="480" w:lineRule="exact"/>
        <w:ind w:firstLine="560" w:firstLineChars="200"/>
        <w:rPr>
          <w:rFonts w:ascii="仿宋" w:hAnsi="仿宋" w:eastAsia="仿宋" w:cs="FangSong_GB2312"/>
          <w:sz w:val="28"/>
          <w:szCs w:val="28"/>
        </w:rPr>
      </w:pPr>
      <w:r>
        <w:rPr>
          <w:rFonts w:hint="eastAsia" w:ascii="仿宋" w:hAnsi="仿宋" w:eastAsia="仿宋" w:cs="FangSong_GB2312"/>
          <w:sz w:val="28"/>
          <w:szCs w:val="28"/>
        </w:rPr>
        <w:t>网址:</w:t>
      </w:r>
      <w:r>
        <w:fldChar w:fldCharType="begin"/>
      </w:r>
      <w:r>
        <w:instrText xml:space="preserve"> HYPERLINK "http://www.hnxbzxyy.com/" </w:instrText>
      </w:r>
      <w:r>
        <w:fldChar w:fldCharType="separate"/>
      </w:r>
      <w:r>
        <w:rPr>
          <w:rFonts w:ascii="仿宋" w:hAnsi="仿宋" w:eastAsia="仿宋" w:cs="FangSong_GB2312"/>
          <w:sz w:val="28"/>
          <w:szCs w:val="28"/>
        </w:rPr>
        <w:t>http://www.hnxbzxyy.com/</w:t>
      </w:r>
      <w:r>
        <w:rPr>
          <w:rFonts w:ascii="仿宋" w:hAnsi="仿宋" w:eastAsia="仿宋" w:cs="FangSong_GB2312"/>
          <w:sz w:val="28"/>
          <w:szCs w:val="28"/>
        </w:rPr>
        <w:fldChar w:fldCharType="end"/>
      </w:r>
      <w:r>
        <w:rPr>
          <w:rFonts w:hint="eastAsia" w:ascii="仿宋" w:hAnsi="仿宋" w:eastAsia="仿宋" w:cs="FangSong_GB2312"/>
          <w:sz w:val="28"/>
          <w:szCs w:val="28"/>
        </w:rPr>
        <w:t>邮箱:xbyyrsk@163.com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（院公众号）</w:t>
      </w:r>
      <w:r>
        <w:rPr>
          <w:rFonts w:hint="eastAsia"/>
        </w:rPr>
        <w:drawing>
          <wp:inline distT="0" distB="0" distL="0" distR="0">
            <wp:extent cx="1038225" cy="1038225"/>
            <wp:effectExtent l="19050" t="0" r="9525" b="0"/>
            <wp:docPr id="1" name="图片 4" descr="515011991341351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515011991341351690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drawing>
          <wp:inline distT="0" distB="0" distL="114300" distR="114300">
            <wp:extent cx="5281930" cy="3878580"/>
            <wp:effectExtent l="0" t="0" r="13970" b="7620"/>
            <wp:docPr id="3" name="图片 3" descr="微信图片_20171205164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712051649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</w:rPr>
      </w:pPr>
    </w:p>
    <w:p/>
    <w:p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drawing>
          <wp:inline distT="0" distB="0" distL="0" distR="0">
            <wp:extent cx="5284470" cy="3181985"/>
            <wp:effectExtent l="0" t="0" r="1143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318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</w:rPr>
      </w:pPr>
    </w:p>
    <w:sectPr>
      <w:pgSz w:w="11906" w:h="16838"/>
      <w:pgMar w:top="426" w:right="1418" w:bottom="42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4CC"/>
    <w:rsid w:val="0000778A"/>
    <w:rsid w:val="000258DD"/>
    <w:rsid w:val="00030A1E"/>
    <w:rsid w:val="00046285"/>
    <w:rsid w:val="00086ADB"/>
    <w:rsid w:val="000907BE"/>
    <w:rsid w:val="000A0146"/>
    <w:rsid w:val="000B5DBC"/>
    <w:rsid w:val="000C39CE"/>
    <w:rsid w:val="000F50A0"/>
    <w:rsid w:val="00111A38"/>
    <w:rsid w:val="00130D99"/>
    <w:rsid w:val="00131C7C"/>
    <w:rsid w:val="00132680"/>
    <w:rsid w:val="00141E60"/>
    <w:rsid w:val="00146E0E"/>
    <w:rsid w:val="00150CA2"/>
    <w:rsid w:val="001676BC"/>
    <w:rsid w:val="00174760"/>
    <w:rsid w:val="001A1EBB"/>
    <w:rsid w:val="001C391A"/>
    <w:rsid w:val="001E7BE5"/>
    <w:rsid w:val="001F58EA"/>
    <w:rsid w:val="002061EE"/>
    <w:rsid w:val="00207875"/>
    <w:rsid w:val="00226C14"/>
    <w:rsid w:val="00273B19"/>
    <w:rsid w:val="00275ED8"/>
    <w:rsid w:val="00283E87"/>
    <w:rsid w:val="002B277E"/>
    <w:rsid w:val="002B3489"/>
    <w:rsid w:val="002B70A5"/>
    <w:rsid w:val="002C5CE0"/>
    <w:rsid w:val="002D74A7"/>
    <w:rsid w:val="002E6B10"/>
    <w:rsid w:val="002F0684"/>
    <w:rsid w:val="002F6029"/>
    <w:rsid w:val="00307C65"/>
    <w:rsid w:val="0032532D"/>
    <w:rsid w:val="00356A32"/>
    <w:rsid w:val="00360B23"/>
    <w:rsid w:val="00362458"/>
    <w:rsid w:val="00363B60"/>
    <w:rsid w:val="003668EF"/>
    <w:rsid w:val="00381C79"/>
    <w:rsid w:val="0039134D"/>
    <w:rsid w:val="003947FC"/>
    <w:rsid w:val="003A2921"/>
    <w:rsid w:val="003A7B0B"/>
    <w:rsid w:val="003B3A28"/>
    <w:rsid w:val="003B7D99"/>
    <w:rsid w:val="003C5BE9"/>
    <w:rsid w:val="003D362B"/>
    <w:rsid w:val="003F3258"/>
    <w:rsid w:val="0041310A"/>
    <w:rsid w:val="004241A5"/>
    <w:rsid w:val="00430559"/>
    <w:rsid w:val="00435B5B"/>
    <w:rsid w:val="00435DBC"/>
    <w:rsid w:val="00450A78"/>
    <w:rsid w:val="00454779"/>
    <w:rsid w:val="004629C8"/>
    <w:rsid w:val="00466A22"/>
    <w:rsid w:val="004761D2"/>
    <w:rsid w:val="00482603"/>
    <w:rsid w:val="00492948"/>
    <w:rsid w:val="004A3CC3"/>
    <w:rsid w:val="004A6EC7"/>
    <w:rsid w:val="005012FF"/>
    <w:rsid w:val="0050139B"/>
    <w:rsid w:val="005075E9"/>
    <w:rsid w:val="00512706"/>
    <w:rsid w:val="00523468"/>
    <w:rsid w:val="005346AA"/>
    <w:rsid w:val="0053561E"/>
    <w:rsid w:val="00540CE4"/>
    <w:rsid w:val="00551331"/>
    <w:rsid w:val="00574D6B"/>
    <w:rsid w:val="00580376"/>
    <w:rsid w:val="005C1C17"/>
    <w:rsid w:val="005C2F21"/>
    <w:rsid w:val="005E44B8"/>
    <w:rsid w:val="005E5697"/>
    <w:rsid w:val="005F62C6"/>
    <w:rsid w:val="005F62FF"/>
    <w:rsid w:val="00600BD5"/>
    <w:rsid w:val="00605061"/>
    <w:rsid w:val="006065B8"/>
    <w:rsid w:val="00607A29"/>
    <w:rsid w:val="00625E85"/>
    <w:rsid w:val="006260B9"/>
    <w:rsid w:val="00631E67"/>
    <w:rsid w:val="006446A6"/>
    <w:rsid w:val="00670A6C"/>
    <w:rsid w:val="00682E74"/>
    <w:rsid w:val="006A6CF1"/>
    <w:rsid w:val="006C2033"/>
    <w:rsid w:val="006C4EA9"/>
    <w:rsid w:val="006D120A"/>
    <w:rsid w:val="006E4347"/>
    <w:rsid w:val="006F02F0"/>
    <w:rsid w:val="00722B63"/>
    <w:rsid w:val="00741153"/>
    <w:rsid w:val="00742E70"/>
    <w:rsid w:val="007503B6"/>
    <w:rsid w:val="0075368E"/>
    <w:rsid w:val="00782ACD"/>
    <w:rsid w:val="007857AC"/>
    <w:rsid w:val="00791312"/>
    <w:rsid w:val="007934CC"/>
    <w:rsid w:val="007C0ABA"/>
    <w:rsid w:val="007C2712"/>
    <w:rsid w:val="007C7877"/>
    <w:rsid w:val="007E57CB"/>
    <w:rsid w:val="00807281"/>
    <w:rsid w:val="0081095C"/>
    <w:rsid w:val="008259FA"/>
    <w:rsid w:val="008479BC"/>
    <w:rsid w:val="008605E0"/>
    <w:rsid w:val="008735F5"/>
    <w:rsid w:val="00884442"/>
    <w:rsid w:val="009349EC"/>
    <w:rsid w:val="00942753"/>
    <w:rsid w:val="0095252F"/>
    <w:rsid w:val="00965E41"/>
    <w:rsid w:val="00974132"/>
    <w:rsid w:val="009804CF"/>
    <w:rsid w:val="00993B1F"/>
    <w:rsid w:val="009C7DB8"/>
    <w:rsid w:val="009E436F"/>
    <w:rsid w:val="009F03F4"/>
    <w:rsid w:val="00A115BF"/>
    <w:rsid w:val="00A17AE6"/>
    <w:rsid w:val="00A347D2"/>
    <w:rsid w:val="00A41AED"/>
    <w:rsid w:val="00A44C87"/>
    <w:rsid w:val="00A657F4"/>
    <w:rsid w:val="00A87435"/>
    <w:rsid w:val="00AB674A"/>
    <w:rsid w:val="00AC3255"/>
    <w:rsid w:val="00AD721A"/>
    <w:rsid w:val="00AD7F30"/>
    <w:rsid w:val="00AE1367"/>
    <w:rsid w:val="00AF22FE"/>
    <w:rsid w:val="00AF5684"/>
    <w:rsid w:val="00B0150F"/>
    <w:rsid w:val="00B05196"/>
    <w:rsid w:val="00B24819"/>
    <w:rsid w:val="00B44839"/>
    <w:rsid w:val="00B50238"/>
    <w:rsid w:val="00B66072"/>
    <w:rsid w:val="00B75E3B"/>
    <w:rsid w:val="00B77A5F"/>
    <w:rsid w:val="00B92A34"/>
    <w:rsid w:val="00B94215"/>
    <w:rsid w:val="00BA5041"/>
    <w:rsid w:val="00BB062B"/>
    <w:rsid w:val="00BB0F6D"/>
    <w:rsid w:val="00BB7A4A"/>
    <w:rsid w:val="00BC7DF4"/>
    <w:rsid w:val="00BD0633"/>
    <w:rsid w:val="00BE3962"/>
    <w:rsid w:val="00C04740"/>
    <w:rsid w:val="00C20DB1"/>
    <w:rsid w:val="00C32E37"/>
    <w:rsid w:val="00C33141"/>
    <w:rsid w:val="00C50F88"/>
    <w:rsid w:val="00C724C5"/>
    <w:rsid w:val="00C80FDE"/>
    <w:rsid w:val="00C82042"/>
    <w:rsid w:val="00CB7A9F"/>
    <w:rsid w:val="00CB7C33"/>
    <w:rsid w:val="00CE3920"/>
    <w:rsid w:val="00D03D40"/>
    <w:rsid w:val="00D10D3D"/>
    <w:rsid w:val="00D21114"/>
    <w:rsid w:val="00D21A44"/>
    <w:rsid w:val="00D26FFB"/>
    <w:rsid w:val="00D36F12"/>
    <w:rsid w:val="00D3723B"/>
    <w:rsid w:val="00D467F9"/>
    <w:rsid w:val="00D51561"/>
    <w:rsid w:val="00D55F3B"/>
    <w:rsid w:val="00D6264B"/>
    <w:rsid w:val="00D70CC2"/>
    <w:rsid w:val="00D7579E"/>
    <w:rsid w:val="00D75D84"/>
    <w:rsid w:val="00DA169F"/>
    <w:rsid w:val="00DB0BDB"/>
    <w:rsid w:val="00DC1284"/>
    <w:rsid w:val="00DD384E"/>
    <w:rsid w:val="00DF57B2"/>
    <w:rsid w:val="00DF58FC"/>
    <w:rsid w:val="00DF5D1D"/>
    <w:rsid w:val="00DF7611"/>
    <w:rsid w:val="00E15E66"/>
    <w:rsid w:val="00E30DD8"/>
    <w:rsid w:val="00E30EBA"/>
    <w:rsid w:val="00E45780"/>
    <w:rsid w:val="00E613AA"/>
    <w:rsid w:val="00E618CD"/>
    <w:rsid w:val="00E70CA9"/>
    <w:rsid w:val="00E90726"/>
    <w:rsid w:val="00EA5F5D"/>
    <w:rsid w:val="00EA6BF8"/>
    <w:rsid w:val="00EC03B1"/>
    <w:rsid w:val="00EC31EC"/>
    <w:rsid w:val="00EC3D71"/>
    <w:rsid w:val="00ED2BD2"/>
    <w:rsid w:val="00F053F9"/>
    <w:rsid w:val="00F2741C"/>
    <w:rsid w:val="00F333B8"/>
    <w:rsid w:val="00F423EF"/>
    <w:rsid w:val="00F54AB0"/>
    <w:rsid w:val="00F62765"/>
    <w:rsid w:val="00F65D65"/>
    <w:rsid w:val="00F65F21"/>
    <w:rsid w:val="00FE3A29"/>
    <w:rsid w:val="056D4C93"/>
    <w:rsid w:val="0A26237B"/>
    <w:rsid w:val="0E657548"/>
    <w:rsid w:val="10E64099"/>
    <w:rsid w:val="169E780F"/>
    <w:rsid w:val="16FB10AB"/>
    <w:rsid w:val="219868B7"/>
    <w:rsid w:val="25291E81"/>
    <w:rsid w:val="27C24489"/>
    <w:rsid w:val="2DF37CE9"/>
    <w:rsid w:val="2F0579F8"/>
    <w:rsid w:val="327B01C5"/>
    <w:rsid w:val="4ED241C1"/>
    <w:rsid w:val="52003B89"/>
    <w:rsid w:val="52CC3276"/>
    <w:rsid w:val="57B328FD"/>
    <w:rsid w:val="62AB11AF"/>
    <w:rsid w:val="74880656"/>
    <w:rsid w:val="75761524"/>
    <w:rsid w:val="7D6D483C"/>
    <w:rsid w:val="7FAA3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64244-2E75-4F12-B4F7-759C973B7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212</Words>
  <Characters>1209</Characters>
  <Lines>10</Lines>
  <Paragraphs>2</Paragraphs>
  <TotalTime>54</TotalTime>
  <ScaleCrop>false</ScaleCrop>
  <LinksUpToDate>false</LinksUpToDate>
  <CharactersWithSpaces>1419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梁振俊</cp:lastModifiedBy>
  <cp:lastPrinted>2020-11-04T07:04:00Z</cp:lastPrinted>
  <dcterms:modified xsi:type="dcterms:W3CDTF">2023-03-03T02:12:54Z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A71F009C601E41A5864497751BA254E3</vt:lpwstr>
  </property>
</Properties>
</file>