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8DB0C8">
      <w:pPr>
        <w:pStyle w:val="2"/>
        <w:jc w:val="center"/>
      </w:pPr>
      <w:r>
        <w:rPr>
          <w:b/>
          <w:sz w:val="48"/>
        </w:rPr>
        <w:t>太初元碁2025届校园招聘简章</w:t>
      </w:r>
    </w:p>
    <w:p w14:paraId="35B54CF5">
      <w:pPr>
        <w:jc w:val="center"/>
      </w:pPr>
      <w:r>
        <w:rPr>
          <w:rFonts w:hint="eastAsia" w:ascii="黑体" w:hAnsi="黑体" w:eastAsia="黑体" w:cs="黑体"/>
          <w:b/>
          <w:color w:val="000000"/>
          <w:sz w:val="28"/>
          <w:shd w:val="clear" w:color="auto" w:fill="FFFFFF"/>
        </w:rPr>
        <w:t>太初(无锡)电子科技有限公司</w:t>
      </w:r>
    </w:p>
    <w:p w14:paraId="4D42CF33">
      <w:pPr>
        <w:widowControl/>
        <w:spacing w:afterAutospacing="0" w:line="19" w:lineRule="atLeast"/>
        <w:jc w:val="center"/>
        <w:rPr>
          <w:rFonts w:hint="eastAsia" w:ascii="黑体" w:hAnsi="黑体" w:eastAsia="黑体" w:cs="黑体"/>
          <w:color w:val="000000"/>
          <w:sz w:val="22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z w:val="22"/>
          <w:shd w:val="clear" w:color="auto" w:fill="FFFFFF"/>
        </w:rPr>
        <w:t>(简称:太初元碁Tecorigin)</w:t>
      </w:r>
    </w:p>
    <w:p w14:paraId="6331930F">
      <w:pPr>
        <w:widowControl/>
        <w:spacing w:afterAutospacing="0" w:line="19" w:lineRule="atLeast"/>
        <w:jc w:val="center"/>
        <w:rPr>
          <w:rFonts w:hint="eastAsia" w:ascii="黑体" w:hAnsi="黑体" w:eastAsia="黑体" w:cs="黑体"/>
          <w:color w:val="000000"/>
          <w:sz w:val="22"/>
          <w:shd w:val="clear" w:color="auto" w:fill="FFFFFF"/>
        </w:rPr>
      </w:pPr>
      <w:r>
        <w:rPr>
          <w:rFonts w:hint="eastAsia" w:ascii="黑体" w:hAnsi="黑体" w:eastAsia="黑体" w:cs="黑体"/>
          <w:b/>
          <w:color w:val="000000"/>
          <w:sz w:val="22"/>
          <w:shd w:val="clear" w:color="auto" w:fill="FFFFFF"/>
        </w:rPr>
        <w:t>校招主题:初心碁未来</w:t>
      </w:r>
    </w:p>
    <w:p w14:paraId="0B9DD793">
      <w:pPr>
        <w:widowControl/>
        <w:spacing w:afterAutospacing="0" w:line="19" w:lineRule="atLeast"/>
        <w:jc w:val="center"/>
        <w:rPr>
          <w:rFonts w:hint="default" w:ascii="黑体" w:hAnsi="黑体" w:eastAsia="黑体" w:cs="黑体"/>
          <w:color w:val="000000"/>
          <w:sz w:val="22"/>
          <w:shd w:val="clear" w:color="auto" w:fill="FFFFFF"/>
        </w:rPr>
      </w:pPr>
      <w:r>
        <w:rPr>
          <w:rFonts w:hint="eastAsia" w:ascii="黑体" w:hAnsi="黑体" w:eastAsia="黑体" w:cs="黑体"/>
          <w:b/>
          <w:color w:val="000000"/>
          <w:sz w:val="22"/>
          <w:shd w:val="clear" w:color="auto" w:fill="FFFFFF"/>
        </w:rPr>
        <w:t>Slogan:用算力开启无限可能</w:t>
      </w:r>
    </w:p>
    <w:p w14:paraId="2FFC5F50">
      <w:pPr>
        <w:widowControl/>
        <w:spacing w:afterAutospacing="0" w:line="19" w:lineRule="atLeast"/>
        <w:jc w:val="center"/>
        <w:rPr>
          <w:rFonts w:hint="eastAsia" w:ascii="黑体" w:hAnsi="黑体" w:eastAsia="黑体" w:cs="黑体"/>
          <w:color w:val="000000"/>
          <w:sz w:val="22"/>
          <w:shd w:val="clear" w:color="auto" w:fill="FFFFFF"/>
        </w:rPr>
      </w:pPr>
    </w:p>
    <w:p w14:paraId="75816B51">
      <w:pPr>
        <w:rPr>
          <w:rFonts w:hint="default"/>
          <w:b/>
          <w:sz w:val="28"/>
        </w:rPr>
      </w:pPr>
      <w:r>
        <w:rPr>
          <w:rFonts w:hint="default"/>
          <w:b/>
          <w:sz w:val="28"/>
        </w:rPr>
        <w:t>公司介绍</w:t>
      </w:r>
    </w:p>
    <w:p w14:paraId="606D4981">
      <w:pPr>
        <w:jc w:val="left"/>
        <w:rPr>
          <w:rFonts w:hint="default"/>
        </w:rPr>
      </w:pPr>
      <w:r>
        <w:rPr>
          <w:b/>
          <w:sz w:val="18"/>
        </w:rPr>
        <w:t>太初（无锡）电子科技有限公司</w:t>
      </w:r>
      <w:r>
        <w:rPr>
          <w:sz w:val="18"/>
        </w:rPr>
        <w:t>，自2019年成立以来，始终坚持以“铸造中国算力基石，构建未来智能世界”为使命，立足于高性能计算产业核心基座，布局自主可控、通用开放、性能完善的先进智能计算生态。面向政府和企业用户，建设高性能、高能效、高可靠的智能算力系统，深度定制HPC+AI关键领域解决方案，覆盖软硬件研发、算力系统设计和集成等智算中心建设全流程。</w:t>
      </w:r>
    </w:p>
    <w:p w14:paraId="6C407937">
      <w:r>
        <w:rPr>
          <w:b/>
          <w:sz w:val="18"/>
        </w:rPr>
        <w:t>太初元碁Tecorigin</w:t>
      </w:r>
      <w:r>
        <w:rPr>
          <w:sz w:val="18"/>
        </w:rPr>
        <w:t>初始团队约40余人，经过三年多迅速发展，目前，在职员工总数达</w:t>
      </w:r>
      <w:r>
        <w:rPr>
          <w:rFonts w:hint="eastAsia"/>
          <w:sz w:val="18"/>
          <w:lang w:val="en-US" w:eastAsia="zh-CN"/>
        </w:rPr>
        <w:t>4</w:t>
      </w:r>
      <w:r>
        <w:rPr>
          <w:sz w:val="18"/>
        </w:rPr>
        <w:t>00余人，研发人员占比超80%，其中硕博学历占比超65%，研发投入占比超50%，拥有无锡、北京、上海、南京4大研发中心，以及盐城系统集成中心。通过建立完善高效的研发管理体系，推动技术创新要素聚集沉淀，持续吸引及培养顶尖人才，共同塑造未来，实现更高科研价值、促进更</w:t>
      </w:r>
      <w:bookmarkStart w:id="0" w:name="_GoBack"/>
      <w:bookmarkEnd w:id="0"/>
      <w:r>
        <w:rPr>
          <w:sz w:val="18"/>
        </w:rPr>
        <w:t>深产业融合、开拓更多未来可能。</w:t>
      </w:r>
    </w:p>
    <w:p w14:paraId="6427DAAB">
      <w:r>
        <w:rPr>
          <w:b/>
          <w:sz w:val="18"/>
        </w:rPr>
        <w:t>太初官网：</w:t>
      </w:r>
      <w:r>
        <w:fldChar w:fldCharType="begin"/>
      </w:r>
      <w:r>
        <w:instrText xml:space="preserve"> HYPERLINK "http://www.tecorigin.com/" \h </w:instrText>
      </w:r>
      <w:r>
        <w:fldChar w:fldCharType="separate"/>
      </w:r>
      <w:r>
        <w:rPr>
          <w:rStyle w:val="6"/>
          <w:b/>
          <w:sz w:val="18"/>
        </w:rPr>
        <w:t>www.tecorigin.com</w:t>
      </w:r>
      <w:r>
        <w:rPr>
          <w:rStyle w:val="6"/>
          <w:b/>
          <w:sz w:val="18"/>
        </w:rPr>
        <w:fldChar w:fldCharType="end"/>
      </w:r>
    </w:p>
    <w:p w14:paraId="7E3A3DCB">
      <w:r>
        <w:rPr>
          <w:b/>
          <w:sz w:val="18"/>
        </w:rPr>
        <w:t>校招官网：</w:t>
      </w:r>
      <w:r>
        <w:fldChar w:fldCharType="begin"/>
      </w:r>
      <w:r>
        <w:instrText xml:space="preserve"> HYPERLINK "https://app.mokahr.com/campus-recruitment/tecorigin/47402" \h </w:instrText>
      </w:r>
      <w:r>
        <w:fldChar w:fldCharType="separate"/>
      </w:r>
      <w:r>
        <w:rPr>
          <w:rStyle w:val="6"/>
          <w:sz w:val="18"/>
        </w:rPr>
        <w:t>https://app.mokahr.com/campus-recruitment/tecorigin/47402</w:t>
      </w:r>
      <w:r>
        <w:rPr>
          <w:rStyle w:val="6"/>
          <w:sz w:val="18"/>
        </w:rPr>
        <w:fldChar w:fldCharType="end"/>
      </w:r>
    </w:p>
    <w:p w14:paraId="26D8FC56">
      <w:r>
        <w:rPr>
          <w:b/>
          <w:sz w:val="18"/>
        </w:rPr>
        <w:t>太初官方公众号：</w:t>
      </w:r>
      <w:r>
        <w:rPr>
          <w:b/>
          <w:color w:val="579AD5"/>
          <w:sz w:val="18"/>
        </w:rPr>
        <w:t>太初元碁Tecorigin</w:t>
      </w:r>
    </w:p>
    <w:p w14:paraId="270D2A37">
      <w:r>
        <w:rPr>
          <w:b/>
          <w:sz w:val="18"/>
        </w:rPr>
        <w:t>招聘公众号：</w:t>
      </w:r>
      <w:r>
        <w:rPr>
          <w:b/>
          <w:color w:val="579AD5"/>
          <w:sz w:val="18"/>
        </w:rPr>
        <w:t>碁客行</w:t>
      </w:r>
    </w:p>
    <w:p w14:paraId="6E3750DE">
      <w:r>
        <w:rPr>
          <w:b/>
          <w:sz w:val="18"/>
        </w:rPr>
        <w:t>公司使命</w:t>
      </w:r>
      <w:r>
        <w:rPr>
          <w:sz w:val="18"/>
        </w:rPr>
        <w:t>：</w:t>
      </w:r>
      <w:r>
        <w:rPr>
          <w:b/>
          <w:color w:val="579AD5"/>
          <w:sz w:val="18"/>
        </w:rPr>
        <w:t>铸造中国算力基石，构建未来智能世界</w:t>
      </w:r>
    </w:p>
    <w:p w14:paraId="0F685AB1">
      <w:r>
        <w:rPr>
          <w:b/>
          <w:sz w:val="18"/>
        </w:rPr>
        <w:t>公司愿景</w:t>
      </w:r>
      <w:r>
        <w:rPr>
          <w:sz w:val="18"/>
        </w:rPr>
        <w:t>：</w:t>
      </w:r>
      <w:r>
        <w:rPr>
          <w:b/>
          <w:color w:val="579AD5"/>
          <w:sz w:val="18"/>
        </w:rPr>
        <w:t>成为全球领先的智能计算解决方案提供商</w:t>
      </w:r>
    </w:p>
    <w:p w14:paraId="09E12EAA"/>
    <w:p w14:paraId="25FEA2C2">
      <w:r>
        <w:rPr>
          <w:rFonts w:hint="default"/>
          <w:b/>
          <w:sz w:val="28"/>
        </w:rPr>
        <w:t>核心优势</w:t>
      </w:r>
    </w:p>
    <w:p w14:paraId="22B76ED8">
      <w:r>
        <w:rPr>
          <w:b/>
          <w:sz w:val="22"/>
        </w:rPr>
        <w:t>硬件架构</w:t>
      </w:r>
    </w:p>
    <w:p w14:paraId="4E22DA72">
      <w:r>
        <w:rPr>
          <w:color w:val="ED7D33"/>
          <w:sz w:val="18"/>
        </w:rPr>
        <w:t>基于异构众核的技术架构打造产品，具备更高通用性，天然适配HPC+AI，带来快速、准确的性能表现，助力加速探索实践。</w:t>
      </w:r>
      <w:r>
        <w:rPr>
          <w:sz w:val="18"/>
        </w:rPr>
        <w:t>针对高性能计算和人工智能工作负载，实现超高速度和智能化大规模数据吞吐量。同时，提供更智能的资源分配和任务调度策略，更好支持大规模、高并行度的计算，优化计算效率和性能，合理控制系统能耗，在自主可控、峰值速度、持续性能和绿色指标等方面实现了全面突破，满足特定工作负载的需求，助力企业降本增效。</w:t>
      </w:r>
    </w:p>
    <w:p w14:paraId="3627200F"/>
    <w:p w14:paraId="3354D916">
      <w:r>
        <w:rPr>
          <w:b/>
          <w:sz w:val="22"/>
        </w:rPr>
        <w:t>软件生态</w:t>
      </w:r>
    </w:p>
    <w:p w14:paraId="421DE408">
      <w:r>
        <w:rPr>
          <w:color w:val="ED7D33"/>
          <w:sz w:val="18"/>
        </w:rPr>
        <w:t>围绕通用国产异构众核处理器，以开放思路，构建完整的软件生态和应用平台。</w:t>
      </w:r>
      <w:r>
        <w:rPr>
          <w:sz w:val="18"/>
        </w:rPr>
        <w:t>包括编译器、操作系统、驱动运行时软件、计算加速库、通信库、训练框架、推理框架、模型库、AI开发者平台、算法生态中心等。</w:t>
      </w:r>
    </w:p>
    <w:p w14:paraId="192A697F">
      <w:r>
        <w:rPr>
          <w:color w:val="ED7D33"/>
          <w:sz w:val="18"/>
        </w:rPr>
        <w:t>以通用计算能力为基础，打造灵活高效的软件开发环境。</w:t>
      </w:r>
      <w:r>
        <w:rPr>
          <w:sz w:val="18"/>
        </w:rPr>
        <w:t>编程模型经过数十年沉淀、数百项百万核心规模以上应用的打磨，覆盖20多个高性能计算领域，软件生态具备对千万核心规模应用可扩展性的支撑能力。</w:t>
      </w:r>
    </w:p>
    <w:p w14:paraId="59543AA5">
      <w:r>
        <w:rPr>
          <w:color w:val="ED7D33"/>
          <w:sz w:val="18"/>
        </w:rPr>
        <w:t>以高效的片上张量计算能力为核心，面向人工智能领域，重点解决AI训练、推理等计算需求。</w:t>
      </w:r>
      <w:r>
        <w:rPr>
          <w:sz w:val="18"/>
        </w:rPr>
        <w:t>支持PyTorch、TensorFlow、PaddlePaddle等主流深度学习框架。模型库覆盖计算机视觉，自然语言处理、语音识别、多模态等众多AI应用场景，完成了百亿级规模参数的生成类大语言模型的开发和落地。</w:t>
      </w:r>
    </w:p>
    <w:p w14:paraId="0134EE86"/>
    <w:p w14:paraId="712C7B17">
      <w:r>
        <w:rPr>
          <w:b/>
          <w:sz w:val="22"/>
        </w:rPr>
        <w:t>算力系统</w:t>
      </w:r>
    </w:p>
    <w:p w14:paraId="7E644735">
      <w:r>
        <w:rPr>
          <w:color w:val="ED7D33"/>
          <w:sz w:val="18"/>
        </w:rPr>
        <w:t>作为能够提供HPC+AI智算系统解决方案的引领者，曾在大型智算中心建设上积累深厚经验。</w:t>
      </w:r>
      <w:r>
        <w:rPr>
          <w:sz w:val="18"/>
        </w:rPr>
        <w:t>包括水冷系统、电源系统、机房建设等方面，并基于多项国家示范级项目的顶层调优经验，在大模型训练性能、总拥有成本优化、系统效率优化、灵活部署及节能减碳方面均有充足的过往项目经验支撑。基于自研的高密液冷智算节点、200G高速无损互联技术、冷热分级存储与分布式缓存技术、以及千卡规模算力调度系统，从计算、存储、网络、调度等全方位优化大模型应用，实现了业界领先的AI计算性能、计算密度、性能成本比、性能功耗比、系统扩展性。</w:t>
      </w:r>
    </w:p>
    <w:p w14:paraId="61230FB9"/>
    <w:p w14:paraId="6D554B59">
      <w:r>
        <w:rPr>
          <w:rFonts w:hint="eastAsia"/>
          <w:b/>
          <w:sz w:val="28"/>
        </w:rPr>
        <w:t>校招岗位</w:t>
      </w:r>
    </w:p>
    <w:p w14:paraId="1E833906">
      <w:pPr>
        <w:rPr>
          <w:rFonts w:hint="default"/>
          <w:color w:val="000000"/>
        </w:rPr>
      </w:pPr>
      <w:r>
        <w:rPr>
          <w:rFonts w:hint="default"/>
          <w:b/>
          <w:color w:val="ED7D33"/>
          <w:sz w:val="18"/>
        </w:rPr>
        <w:t>软件开发类</w:t>
      </w:r>
      <w:r>
        <w:rPr>
          <w:rFonts w:hint="default"/>
          <w:b/>
          <w:color w:val="000000"/>
          <w:sz w:val="18"/>
        </w:rPr>
        <w:t>：</w:t>
      </w:r>
      <w:r>
        <w:rPr>
          <w:rFonts w:hint="default"/>
          <w:sz w:val="18"/>
        </w:rPr>
        <w:t>高性能研发工程师、深度学习框架研发工程师、大模型推理框架工程师、编译研发工程师、C++开发工程师……</w:t>
      </w:r>
    </w:p>
    <w:p w14:paraId="08644019">
      <w:pPr>
        <w:rPr>
          <w:rFonts w:hint="default"/>
          <w:color w:val="000000"/>
        </w:rPr>
      </w:pPr>
      <w:r>
        <w:rPr>
          <w:rFonts w:hint="default"/>
          <w:b/>
          <w:color w:val="ED7D33"/>
          <w:sz w:val="18"/>
        </w:rPr>
        <w:t>算法类</w:t>
      </w:r>
      <w:r>
        <w:rPr>
          <w:rFonts w:hint="default"/>
          <w:b/>
          <w:color w:val="000000"/>
          <w:sz w:val="18"/>
        </w:rPr>
        <w:t>：</w:t>
      </w:r>
      <w:r>
        <w:rPr>
          <w:rFonts w:hint="default"/>
          <w:sz w:val="18"/>
        </w:rPr>
        <w:t>并行计算研究员、大模型算法研究员、算法工程师（小模型）……</w:t>
      </w:r>
    </w:p>
    <w:p w14:paraId="09DE44D7">
      <w:pPr>
        <w:rPr>
          <w:rFonts w:hint="default"/>
          <w:color w:val="000000"/>
        </w:rPr>
      </w:pPr>
      <w:r>
        <w:rPr>
          <w:rFonts w:hint="default"/>
          <w:b/>
          <w:color w:val="ED7D33"/>
          <w:sz w:val="18"/>
        </w:rPr>
        <w:t>设计验证类</w:t>
      </w:r>
      <w:r>
        <w:rPr>
          <w:rFonts w:hint="default"/>
          <w:b/>
          <w:color w:val="000000"/>
          <w:sz w:val="18"/>
        </w:rPr>
        <w:t>：</w:t>
      </w:r>
      <w:r>
        <w:rPr>
          <w:rFonts w:hint="default"/>
          <w:sz w:val="18"/>
        </w:rPr>
        <w:t>芯片架构设计、芯片设计工程师、芯片验证工程师……</w:t>
      </w:r>
    </w:p>
    <w:p w14:paraId="6CC9B57B">
      <w:pPr>
        <w:jc w:val="left"/>
        <w:rPr>
          <w:rFonts w:hint="eastAsia"/>
          <w:b/>
          <w:sz w:val="28"/>
        </w:rPr>
      </w:pPr>
      <w:r>
        <w:rPr>
          <w:rFonts w:hint="eastAsia"/>
          <w:b/>
          <w:sz w:val="20"/>
        </w:rPr>
        <w:t>工作地点：</w:t>
      </w:r>
      <w:r>
        <w:rPr>
          <w:rFonts w:hint="eastAsia"/>
          <w:sz w:val="18"/>
        </w:rPr>
        <w:t>无锡、北京、上海</w:t>
      </w:r>
    </w:p>
    <w:p w14:paraId="1701784F">
      <w:pPr>
        <w:rPr>
          <w:rFonts w:hint="default"/>
        </w:rPr>
      </w:pPr>
    </w:p>
    <w:p w14:paraId="7844B7BB">
      <w:pPr>
        <w:rPr>
          <w:rFonts w:hint="default"/>
        </w:rPr>
      </w:pPr>
    </w:p>
    <w:p w14:paraId="0FC332A7">
      <w:pPr>
        <w:rPr>
          <w:rFonts w:hint="default"/>
        </w:rPr>
      </w:pPr>
    </w:p>
    <w:p w14:paraId="19D3F26E">
      <w:pPr>
        <w:rPr>
          <w:rFonts w:hint="default"/>
          <w:b/>
          <w:sz w:val="28"/>
        </w:rPr>
      </w:pPr>
      <w:r>
        <w:rPr>
          <w:rFonts w:hint="eastAsia"/>
          <w:b/>
          <w:sz w:val="28"/>
        </w:rPr>
        <w:t>面试流程</w:t>
      </w:r>
    </w:p>
    <w:p w14:paraId="7ADA1426">
      <w:pPr>
        <w:rPr>
          <w:rFonts w:hint="eastAsia"/>
          <w:b/>
        </w:rPr>
      </w:pPr>
      <w:r>
        <w:rPr>
          <w:rFonts w:hint="eastAsia"/>
          <w:b/>
          <w:sz w:val="20"/>
        </w:rPr>
        <w:t>简历投递-简历筛选-笔试-面试-测评-offer-三方</w:t>
      </w:r>
    </w:p>
    <w:p w14:paraId="4E6D879A">
      <w:pPr>
        <w:rPr>
          <w:rFonts w:hint="eastAsia"/>
          <w:b/>
        </w:rPr>
      </w:pPr>
    </w:p>
    <w:p w14:paraId="395FDFD2">
      <w:pPr>
        <w:jc w:val="center"/>
        <w:rPr>
          <w:rFonts w:hint="default"/>
        </w:rPr>
      </w:pPr>
      <w:r>
        <w:drawing>
          <wp:inline distT="0" distB="0" distL="0" distR="0">
            <wp:extent cx="1760220" cy="1760220"/>
            <wp:effectExtent l="0" t="0" r="0" b="0"/>
            <wp:docPr id="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95AF">
      <w:pPr>
        <w:jc w:val="center"/>
        <w:rPr>
          <w:rFonts w:hint="default"/>
        </w:rPr>
      </w:pPr>
      <w:r>
        <w:rPr>
          <w:b/>
          <w:sz w:val="20"/>
        </w:rPr>
        <w:t>Tecorigin-期待你的扫码投递</w:t>
      </w:r>
    </w:p>
    <w:p w14:paraId="26D8A838">
      <w:pPr>
        <w:ind w:firstLine="420" w:firstLineChars="200"/>
        <w:rPr>
          <w:rFonts w:hint="eastAsia"/>
        </w:rPr>
      </w:pPr>
    </w:p>
    <w:p w14:paraId="15579DFE">
      <w:pPr>
        <w:rPr>
          <w:rFonts w:hint="default"/>
          <w:b/>
          <w:sz w:val="28"/>
        </w:rPr>
      </w:pPr>
      <w:r>
        <w:rPr>
          <w:rFonts w:hint="eastAsia"/>
          <w:b/>
          <w:sz w:val="28"/>
        </w:rPr>
        <w:t>薪酬福利</w:t>
      </w:r>
    </w:p>
    <w:p w14:paraId="3D3EADB6">
      <w:pPr>
        <w:ind w:firstLine="360" w:firstLineChars="200"/>
        <w:rPr>
          <w:rFonts w:hint="eastAsia"/>
        </w:rPr>
      </w:pPr>
      <w:r>
        <w:rPr>
          <w:b w:val="0"/>
          <w:sz w:val="18"/>
        </w:rPr>
        <w:t>具备完善的薪资福利结构，为员工提供具有行业竞争力的薪酬和多元的福利保障。</w:t>
      </w:r>
    </w:p>
    <w:p w14:paraId="7A5B4325">
      <w:pPr>
        <w:rPr>
          <w:rFonts w:hint="eastAsia"/>
        </w:rPr>
      </w:pPr>
      <w:r>
        <w:drawing>
          <wp:inline distT="0" distB="0" distL="0" distR="0">
            <wp:extent cx="7124700" cy="4007485"/>
            <wp:effectExtent l="0" t="0" r="0" b="0"/>
            <wp:docPr id="2" name="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00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0B27"/>
    <w:p w14:paraId="2C7FCAD9">
      <w:pPr>
        <w:rPr>
          <w:rFonts w:hint="default"/>
          <w:b/>
          <w:sz w:val="28"/>
        </w:rPr>
      </w:pPr>
      <w:r>
        <w:rPr>
          <w:rFonts w:hint="eastAsia"/>
          <w:b/>
          <w:sz w:val="28"/>
        </w:rPr>
        <w:t>校招培养与发展</w:t>
      </w:r>
    </w:p>
    <w:p w14:paraId="5719F571">
      <w:pPr>
        <w:ind w:firstLine="360" w:firstLineChars="200"/>
        <w:rPr>
          <w:rFonts w:hint="eastAsia"/>
        </w:rPr>
      </w:pPr>
      <w:r>
        <w:rPr>
          <w:b w:val="0"/>
          <w:sz w:val="18"/>
        </w:rPr>
        <w:t>欢迎成为</w:t>
      </w:r>
      <w:r>
        <w:rPr>
          <w:b/>
          <w:sz w:val="18"/>
        </w:rPr>
        <w:t>“MFLOPS探险家”</w:t>
      </w:r>
      <w:r>
        <w:rPr>
          <w:b w:val="0"/>
          <w:sz w:val="18"/>
        </w:rPr>
        <w:t>你能得到：</w:t>
      </w:r>
    </w:p>
    <w:p w14:paraId="698A5B07">
      <w:pPr>
        <w:ind w:firstLine="360" w:firstLineChars="200"/>
        <w:rPr>
          <w:rFonts w:hint="default"/>
        </w:rPr>
      </w:pPr>
      <w:r>
        <w:rPr>
          <w:b w:val="0"/>
          <w:sz w:val="18"/>
        </w:rPr>
        <w:t>清晰的职业发展通道，专业的职业生涯规划，确定自己的职业身份和职场价值，完成职场角色转换，明确发展方向和目标。</w:t>
      </w:r>
    </w:p>
    <w:p w14:paraId="513DD55C">
      <w:pPr>
        <w:ind w:firstLine="360" w:firstLineChars="200"/>
        <w:rPr>
          <w:rFonts w:hint="default"/>
        </w:rPr>
      </w:pPr>
      <w:r>
        <w:rPr>
          <w:b w:val="0"/>
          <w:sz w:val="18"/>
        </w:rPr>
        <w:t>专为应届生定制的新生代学习计划，闯关式体验学习地图，助力快速融入业务，加速晋升。</w:t>
      </w:r>
    </w:p>
    <w:p w14:paraId="6E92B661">
      <w:pPr>
        <w:ind w:firstLine="360" w:firstLineChars="200"/>
        <w:rPr>
          <w:rFonts w:hint="default"/>
        </w:rPr>
      </w:pPr>
      <w:r>
        <w:rPr>
          <w:b w:val="0"/>
          <w:sz w:val="18"/>
        </w:rPr>
        <w:t>专为应届生定制的碁未来挑战杯，技术大咖亲自指导，海量一手技术资料。</w:t>
      </w:r>
    </w:p>
    <w:p w14:paraId="7ECBC341">
      <w:pPr>
        <w:ind w:firstLine="360" w:firstLineChars="200"/>
        <w:rPr>
          <w:rFonts w:hint="default"/>
        </w:rPr>
      </w:pPr>
      <w:r>
        <w:rPr>
          <w:b w:val="0"/>
          <w:sz w:val="18"/>
        </w:rPr>
        <w:t>明星导师一对一带教，帮助成长，内部开发的各类技术培训，加速成为技术专家。</w:t>
      </w:r>
    </w:p>
    <w:p w14:paraId="64B57E38">
      <w:pPr>
        <w:jc w:val="left"/>
        <w:rPr>
          <w:rFonts w:hint="default"/>
        </w:rPr>
      </w:pPr>
    </w:p>
    <w:p w14:paraId="47728709">
      <w:pPr>
        <w:jc w:val="left"/>
        <w:rPr>
          <w:rFonts w:hint="default"/>
        </w:rPr>
      </w:pPr>
    </w:p>
    <w:p w14:paraId="5AE4469D">
      <w:pPr>
        <w:jc w:val="left"/>
        <w:rPr>
          <w:rFonts w:hint="default"/>
        </w:rPr>
      </w:pPr>
    </w:p>
    <w:p w14:paraId="716840BE">
      <w:pPr>
        <w:jc w:val="left"/>
        <w:rPr>
          <w:rFonts w:hint="default"/>
        </w:rPr>
      </w:pPr>
    </w:p>
    <w:p w14:paraId="492F543F">
      <w:pPr>
        <w:jc w:val="left"/>
        <w:rPr>
          <w:rFonts w:hint="eastAsia"/>
          <w:b/>
          <w:sz w:val="28"/>
        </w:rPr>
      </w:pPr>
      <w:r>
        <w:rPr>
          <w:b/>
        </w:rPr>
        <w:t>公司产品</w:t>
      </w:r>
    </w:p>
    <w:p w14:paraId="37330985">
      <w:pPr>
        <w:jc w:val="left"/>
        <w:rPr>
          <w:rFonts w:hint="eastAsia"/>
          <w:b/>
          <w:sz w:val="28"/>
        </w:rPr>
      </w:pPr>
      <w:r>
        <w:drawing>
          <wp:inline distT="0" distB="0" distL="0" distR="0">
            <wp:extent cx="7124700" cy="2275840"/>
            <wp:effectExtent l="0" t="0" r="0" b="0"/>
            <wp:docPr id="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276030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48AC0605">
      <w:pPr>
        <w:jc w:val="left"/>
        <w:rPr>
          <w:rFonts w:hint="eastAsia"/>
          <w:b/>
          <w:sz w:val="28"/>
        </w:rPr>
      </w:pPr>
    </w:p>
    <w:p w14:paraId="2C41EB55">
      <w:r>
        <w:rPr>
          <w:b/>
        </w:rPr>
        <w:t>合作案例</w:t>
      </w:r>
    </w:p>
    <w:p w14:paraId="4F02C639">
      <w:pPr>
        <w:jc w:val="center"/>
      </w:pPr>
      <w:r>
        <w:drawing>
          <wp:inline distT="0" distB="0" distL="0" distR="0">
            <wp:extent cx="3825875" cy="2045335"/>
            <wp:effectExtent l="0" t="0" r="14573" b="14002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383" cy="20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16D2">
      <w:pPr>
        <w:jc w:val="center"/>
      </w:pPr>
      <w:r>
        <w:rPr>
          <w:rFonts w:hint="default"/>
          <w:sz w:val="18"/>
        </w:rPr>
        <w:t>2022年7月，【盐城超级计算中心】正式落地</w:t>
      </w:r>
    </w:p>
    <w:p w14:paraId="4C9BB385">
      <w:pPr>
        <w:jc w:val="center"/>
      </w:pPr>
      <w:r>
        <w:drawing>
          <wp:inline distT="0" distB="0" distL="0" distR="0">
            <wp:extent cx="3857625" cy="2181225"/>
            <wp:effectExtent l="0" t="0" r="0" b="0"/>
            <wp:docPr id="5" name="“无锡·延安”智算中心落成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“无锡·延安”智算中心落成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9F3E">
      <w:pPr>
        <w:jc w:val="center"/>
      </w:pPr>
      <w:r>
        <w:rPr>
          <w:sz w:val="18"/>
        </w:rPr>
        <w:t>2024年</w:t>
      </w:r>
      <w:r>
        <w:rPr>
          <w:b w:val="0"/>
          <w:sz w:val="18"/>
        </w:rPr>
        <w:t>1月，中标无锡·延安智算中心项目</w:t>
      </w:r>
    </w:p>
    <w:p w14:paraId="706CEE11">
      <w:pPr>
        <w:jc w:val="center"/>
      </w:pPr>
      <w:r>
        <w:drawing>
          <wp:inline distT="0" distB="0" distL="0" distR="0">
            <wp:extent cx="3933825" cy="2619375"/>
            <wp:effectExtent l="0" t="0" r="0" b="0"/>
            <wp:docPr id="6" name="无锡惠山科创太初算力中心启用仪式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无锡惠山科创太初算力中心启用仪式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18"/>
        </w:rPr>
        <w:br w:type="textWrapping"/>
      </w:r>
    </w:p>
    <w:p w14:paraId="7AFF1194">
      <w:pPr>
        <w:jc w:val="center"/>
      </w:pPr>
      <w:r>
        <w:rPr>
          <w:sz w:val="18"/>
        </w:rPr>
        <w:t>2024年5月，无锡惠山科创太初算力中心启用</w:t>
      </w:r>
    </w:p>
    <w:p w14:paraId="285CE109">
      <w:pPr>
        <w:jc w:val="center"/>
      </w:pPr>
      <w:r>
        <w:drawing>
          <wp:inline distT="0" distB="0" distL="0" distR="0">
            <wp:extent cx="3876675" cy="2867025"/>
            <wp:effectExtent l="0" t="0" r="0" b="0"/>
            <wp:docPr id="7" name="中标蠡湖未来城智算中心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中标蠡湖未来城智算中心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325A">
      <w:pPr>
        <w:jc w:val="center"/>
      </w:pPr>
      <w:r>
        <w:rPr>
          <w:b w:val="0"/>
          <w:sz w:val="18"/>
        </w:rPr>
        <w:t>2024年6月，中标蠡湖未来城智算中心项目</w:t>
      </w:r>
      <w:r>
        <w:rPr>
          <w:b w:val="0"/>
          <w:sz w:val="18"/>
        </w:rPr>
        <w:br w:type="textWrapping"/>
      </w:r>
    </w:p>
    <w:p w14:paraId="2592B7F0">
      <w:pPr>
        <w:jc w:val="center"/>
      </w:pPr>
      <w:r>
        <w:drawing>
          <wp:inline distT="0" distB="0" distL="0" distR="0">
            <wp:extent cx="3943350" cy="1762125"/>
            <wp:effectExtent l="0" t="0" r="0" b="0"/>
            <wp:docPr id="8" name="上海市人工智能重点项目（智算生态）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上海市人工智能重点项目（智算生态）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56BC">
      <w:pPr>
        <w:jc w:val="center"/>
      </w:pPr>
      <w:r>
        <w:rPr>
          <w:b w:val="0"/>
          <w:sz w:val="18"/>
        </w:rPr>
        <w:t>2024年7月，</w:t>
      </w:r>
      <w:r>
        <w:rPr>
          <w:sz w:val="18"/>
        </w:rPr>
        <w:t>上海市人工智能重点项目（智算生态）签约</w:t>
      </w:r>
    </w:p>
    <w:p w14:paraId="7AB9676B">
      <w:pPr>
        <w:ind w:firstLine="420" w:firstLineChars="200"/>
        <w:jc w:val="center"/>
        <w:rPr>
          <w:rFonts w:hint="default"/>
        </w:rPr>
      </w:pPr>
    </w:p>
    <w:p w14:paraId="10217D78">
      <w:pPr>
        <w:jc w:val="left"/>
        <w:rPr>
          <w:rFonts w:hint="default"/>
          <w:b/>
          <w:color w:val="FF0000"/>
          <w:sz w:val="22"/>
        </w:rPr>
      </w:pPr>
      <w:r>
        <w:rPr>
          <w:rFonts w:hint="eastAsia"/>
          <w:b/>
          <w:sz w:val="28"/>
        </w:rPr>
        <w:t>太初价值观：TECORIGIN</w:t>
      </w:r>
    </w:p>
    <w:p w14:paraId="666F21FB">
      <w:pPr>
        <w:rPr>
          <w:rFonts w:hint="default"/>
          <w:b/>
          <w:color w:val="0070C0"/>
        </w:rPr>
      </w:pPr>
      <w:r>
        <w:rPr>
          <w:rFonts w:hint="eastAsia"/>
          <w:b/>
          <w:color w:val="0070C0"/>
          <w:sz w:val="18"/>
          <w:highlight w:val="yellow"/>
        </w:rPr>
        <w:t>T</w:t>
      </w:r>
      <w:r>
        <w:rPr>
          <w:rFonts w:hint="eastAsia"/>
          <w:b/>
          <w:color w:val="0070C0"/>
          <w:sz w:val="18"/>
        </w:rPr>
        <w:t>RUST AND EXCELLENCE</w:t>
      </w:r>
      <w:r>
        <w:rPr>
          <w:rFonts w:hint="default"/>
          <w:b/>
          <w:color w:val="0070C0"/>
          <w:sz w:val="18"/>
        </w:rPr>
        <w:t>互信卓越</w:t>
      </w:r>
    </w:p>
    <w:p w14:paraId="15A8B114">
      <w:pPr>
        <w:rPr>
          <w:rFonts w:hint="default"/>
          <w:b/>
          <w:color w:val="0070C0"/>
        </w:rPr>
      </w:pPr>
      <w:r>
        <w:rPr>
          <w:rFonts w:hint="eastAsia"/>
          <w:b/>
          <w:color w:val="0070C0"/>
          <w:sz w:val="18"/>
          <w:highlight w:val="yellow"/>
        </w:rPr>
        <w:t>CO</w:t>
      </w:r>
      <w:r>
        <w:rPr>
          <w:rFonts w:hint="eastAsia"/>
          <w:b/>
          <w:color w:val="0070C0"/>
          <w:sz w:val="18"/>
        </w:rPr>
        <w:t>OPERETION</w:t>
      </w:r>
      <w:r>
        <w:rPr>
          <w:rFonts w:hint="default"/>
          <w:b/>
          <w:color w:val="0070C0"/>
          <w:sz w:val="18"/>
        </w:rPr>
        <w:t>协作共赢</w:t>
      </w:r>
    </w:p>
    <w:p w14:paraId="248D36D9">
      <w:pPr>
        <w:rPr>
          <w:rFonts w:hint="default"/>
          <w:b/>
          <w:color w:val="0070C0"/>
        </w:rPr>
      </w:pPr>
      <w:r>
        <w:rPr>
          <w:rFonts w:hint="eastAsia"/>
          <w:b/>
          <w:color w:val="0070C0"/>
          <w:sz w:val="18"/>
          <w:highlight w:val="yellow"/>
        </w:rPr>
        <w:t>R</w:t>
      </w:r>
      <w:r>
        <w:rPr>
          <w:rFonts w:hint="eastAsia"/>
          <w:b/>
          <w:color w:val="0070C0"/>
          <w:sz w:val="18"/>
        </w:rPr>
        <w:t xml:space="preserve">ESPONSIBILITY AND </w:t>
      </w:r>
      <w:r>
        <w:rPr>
          <w:rFonts w:hint="eastAsia"/>
          <w:b/>
          <w:color w:val="0070C0"/>
          <w:sz w:val="18"/>
          <w:highlight w:val="yellow"/>
        </w:rPr>
        <w:t>I</w:t>
      </w:r>
      <w:r>
        <w:rPr>
          <w:rFonts w:hint="eastAsia"/>
          <w:b/>
          <w:color w:val="0070C0"/>
          <w:sz w:val="18"/>
        </w:rPr>
        <w:t>NDOMITABILITY</w:t>
      </w:r>
      <w:r>
        <w:rPr>
          <w:rFonts w:hint="default"/>
          <w:b/>
          <w:color w:val="0070C0"/>
          <w:sz w:val="18"/>
        </w:rPr>
        <w:t>坚韧担当</w:t>
      </w:r>
    </w:p>
    <w:p w14:paraId="2C9138B8">
      <w:pPr>
        <w:rPr>
          <w:rFonts w:hint="default"/>
          <w:b/>
          <w:color w:val="0070C0"/>
        </w:rPr>
      </w:pPr>
      <w:r>
        <w:rPr>
          <w:rFonts w:hint="eastAsia"/>
          <w:b/>
          <w:color w:val="0070C0"/>
          <w:sz w:val="18"/>
          <w:highlight w:val="yellow"/>
        </w:rPr>
        <w:t>G</w:t>
      </w:r>
      <w:r>
        <w:rPr>
          <w:rFonts w:hint="eastAsia"/>
          <w:b/>
          <w:color w:val="0070C0"/>
          <w:sz w:val="18"/>
        </w:rPr>
        <w:t>OAL ORIENTATION</w:t>
      </w:r>
      <w:r>
        <w:rPr>
          <w:rFonts w:hint="default"/>
          <w:b/>
          <w:color w:val="0070C0"/>
          <w:sz w:val="18"/>
        </w:rPr>
        <w:t>目标导向</w:t>
      </w:r>
    </w:p>
    <w:p w14:paraId="0A9E2F3D">
      <w:pPr>
        <w:rPr>
          <w:rFonts w:hint="default"/>
          <w:color w:val="FF0000"/>
        </w:rPr>
      </w:pPr>
      <w:r>
        <w:rPr>
          <w:rFonts w:hint="eastAsia"/>
          <w:b/>
          <w:color w:val="0070C0"/>
          <w:sz w:val="18"/>
          <w:highlight w:val="yellow"/>
        </w:rPr>
        <w:t>IN</w:t>
      </w:r>
      <w:r>
        <w:rPr>
          <w:rFonts w:hint="eastAsia"/>
          <w:b/>
          <w:color w:val="0070C0"/>
          <w:sz w:val="18"/>
        </w:rPr>
        <w:t>NOVATION AND NIMBLENESS</w:t>
      </w:r>
      <w:r>
        <w:rPr>
          <w:rFonts w:hint="default"/>
          <w:b/>
          <w:color w:val="0070C0"/>
          <w:sz w:val="18"/>
        </w:rPr>
        <w:t>创新敏捷</w:t>
      </w:r>
    </w:p>
    <w:p w14:paraId="30FC8815">
      <w:pPr>
        <w:ind w:firstLine="360" w:firstLineChars="200"/>
        <w:rPr>
          <w:rFonts w:hint="eastAsia"/>
          <w:color w:val="000000"/>
          <w:sz w:val="18"/>
          <w:highlight w:val="white"/>
        </w:rPr>
      </w:pPr>
      <w:r>
        <w:rPr>
          <w:rFonts w:hint="eastAsia"/>
          <w:color w:val="000000"/>
          <w:sz w:val="18"/>
          <w:highlight w:val="white"/>
        </w:rPr>
        <w:t>在互信中追求卓越，在协作中寻求共赢，用坚韧的臂膀扛起担当，朝着目标的方向坚定不移，在前行的道路上实现敏捷，收获创新，这就是TECORIGIN。</w:t>
      </w:r>
    </w:p>
    <w:p w14:paraId="1916E4E8">
      <w:pPr>
        <w:ind w:firstLine="360" w:firstLineChars="200"/>
        <w:rPr>
          <w:rFonts w:hint="eastAsia"/>
          <w:color w:val="000000"/>
          <w:sz w:val="18"/>
          <w:highlight w:val="white"/>
        </w:rPr>
      </w:pPr>
    </w:p>
    <w:p w14:paraId="4FD9955B">
      <w:pPr>
        <w:ind w:firstLine="360" w:firstLineChars="200"/>
        <w:rPr>
          <w:rFonts w:hint="eastAsia"/>
          <w:color w:val="000000"/>
          <w:sz w:val="18"/>
          <w:highlight w:val="white"/>
        </w:rPr>
      </w:pPr>
    </w:p>
    <w:p w14:paraId="5BB65DA4">
      <w:pPr>
        <w:ind w:firstLine="420" w:firstLineChars="200"/>
        <w:rPr>
          <w:rFonts w:hint="eastAsia"/>
          <w:color w:val="000000"/>
          <w:highlight w:val="white"/>
        </w:rPr>
      </w:pPr>
    </w:p>
    <w:p w14:paraId="0EEA362C">
      <w:pPr>
        <w:jc w:val="center"/>
        <w:rPr>
          <w:rFonts w:hint="default"/>
        </w:rPr>
      </w:pPr>
      <w:r>
        <w:drawing>
          <wp:inline distT="0" distB="0" distL="0" distR="0">
            <wp:extent cx="1760220" cy="1760220"/>
            <wp:effectExtent l="0" t="0" r="0" b="0"/>
            <wp:docPr id="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F59A">
      <w:pPr>
        <w:jc w:val="center"/>
        <w:rPr>
          <w:rFonts w:hint="default"/>
        </w:rPr>
      </w:pPr>
      <w:r>
        <w:rPr>
          <w:b/>
          <w:sz w:val="20"/>
        </w:rPr>
        <w:t>Tecorigin-期待你的扫码投递</w:t>
      </w:r>
    </w:p>
    <w:p w14:paraId="6AE22623">
      <w:pPr>
        <w:rPr>
          <w:rFonts w:hint="default"/>
          <w:b/>
          <w:color w:val="75BD42"/>
          <w:sz w:val="24"/>
        </w:rPr>
      </w:pPr>
    </w:p>
    <w:sectPr>
      <w:pgSz w:w="13380" w:h="16905"/>
      <w:pgMar w:top="1440" w:right="1080" w:bottom="1440" w:left="1080" w:header="850" w:footer="9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iNTM1MWM4ZGYwOGVlNWU5OTNjYWQ1YzE0ZGUyMGMifQ=="/>
  </w:docVars>
  <w:rsids>
    <w:rsidRoot w:val="00000000"/>
    <w:rsid w:val="1A1A67EA"/>
    <w:rsid w:val="1B6B690B"/>
    <w:rsid w:val="4F0D37CB"/>
    <w:rsid w:val="69F032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qFormat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styleId="6">
    <w:name w:val="Hyperlink"/>
    <w:qFormat/>
    <w:uiPriority w:val="0"/>
    <w:rPr>
      <w:color w:val="0563C1"/>
      <w:u w:val="single"/>
    </w:rPr>
  </w:style>
  <w:style w:type="paragraph" w:customStyle="1" w:styleId="7">
    <w:name w:val="dingdocnormal"/>
    <w:qFormat/>
    <w:uiPriority w:val="0"/>
    <w:rPr>
      <w:rFonts w:asciiTheme="minorHAnsi" w:hAnsiTheme="minorHAnsi" w:eastAsiaTheme="minorEastAsia" w:cstheme="minorBidi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1838</Words>
  <Characters>2157</Characters>
  <TotalTime>339</TotalTime>
  <ScaleCrop>false</ScaleCrop>
  <LinksUpToDate>false</LinksUpToDate>
  <CharactersWithSpaces>2164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dc:description>DingTalk Document</dc:description>
  <cp:lastModifiedBy>。。。</cp:lastModifiedBy>
  <dcterms:modified xsi:type="dcterms:W3CDTF">2024-09-03T12:31:28Z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F26075BB12F1438EB2E5CB81AF044F5F_12</vt:lpwstr>
  </property>
</Properties>
</file>