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河南国基实业集团期待您的加入!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公司简介： 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Theme="minorEastAsia" w:hAnsi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/>
          <w:b w:val="0"/>
          <w:bCs/>
          <w:sz w:val="21"/>
          <w:szCs w:val="21"/>
        </w:rPr>
        <w:t>河南国基实业集团有限公司成立于2003年，总部位于河南郑州花园北路65号，是一家集建筑安装、房地产开发、海外投资等为一体的综合性集团公司，拥有中国国家房屋建筑和市政公用双特双甲建筑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资质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，在国内设有36家分公司，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在全国建筑行业百强企业中排名第29位，并先后多次获得中国建设工程鲁班奖。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/>
          <w:b w:val="0"/>
          <w:bCs/>
          <w:sz w:val="21"/>
          <w:szCs w:val="21"/>
        </w:rPr>
        <w:t>公司实施“立足中原、辐射全国、走向海外”的经营战略，自成立以来即开始积极开拓海外市场，数十年来，继在西非塞拉利昂设立工贸园区项目后，又先后启动了在莫桑比克、赞比亚、马拉维、乌干达、科特迪瓦、坦桑尼亚等国家的大规模公务员住房定制和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中低收入群体住房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项目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的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建设及运营，目前业务遍布非洲十多个国家，成效显著，影响巨大，是河南省乃至全国范围内开展海外投资业务的私营企业典范。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/>
          <w:b w:val="0"/>
          <w:bCs/>
          <w:sz w:val="21"/>
          <w:szCs w:val="21"/>
        </w:rPr>
        <w:t>基于海外业务发展需求，公司每年除了需要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大批量的海外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地产、建筑、财务和销售方面的专业人员外，更需要大批量的外语专业人才来辅助、推动现有海外项目的发展，并进行新项目开拓。鉴于此，我们长期诚聘英语、法语方面的人才！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招聘岗位：</w:t>
      </w:r>
    </w:p>
    <w:tbl>
      <w:tblPr>
        <w:tblStyle w:val="7"/>
        <w:tblpPr w:leftFromText="180" w:rightFromText="180" w:vertAnchor="text" w:horzAnchor="page" w:tblpX="1560" w:tblpY="64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803"/>
        <w:gridCol w:w="143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94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4803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1433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工作地点</w:t>
            </w:r>
          </w:p>
        </w:tc>
        <w:tc>
          <w:tcPr>
            <w:tcW w:w="1560" w:type="dxa"/>
            <w:shd w:val="clear" w:color="auto" w:fill="F1F1F1" w:themeFill="background1" w:themeFillShade="F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</w:t>
            </w:r>
          </w:p>
        </w:tc>
        <w:tc>
          <w:tcPr>
            <w:tcW w:w="480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驻外</w:t>
            </w:r>
            <w:r>
              <w:rPr>
                <w:rFonts w:hint="eastAsia" w:asciiTheme="minorEastAsia" w:hAnsiTheme="minorEastAsia"/>
                <w:b/>
                <w:szCs w:val="21"/>
              </w:rPr>
              <w:t>英语翻译（商务方向、行政外联方向</w:t>
            </w:r>
            <w:r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4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国外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480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驻外</w:t>
            </w:r>
            <w:r>
              <w:rPr>
                <w:rFonts w:hint="eastAsia" w:asciiTheme="minorEastAsia" w:hAnsiTheme="minorEastAsia"/>
                <w:b/>
                <w:szCs w:val="21"/>
              </w:rPr>
              <w:t>法语翻译（商务方向、行政外联方向</w:t>
            </w:r>
            <w:r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4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国外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480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董事长助理（英语、法语</w:t>
            </w:r>
            <w:r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4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国内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480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驻外</w:t>
            </w:r>
            <w:r>
              <w:rPr>
                <w:rFonts w:hint="eastAsia" w:asciiTheme="minorEastAsia" w:hAnsiTheme="minorEastAsia"/>
                <w:b/>
                <w:szCs w:val="21"/>
              </w:rPr>
              <w:t>财务（会计、出纳）</w:t>
            </w:r>
          </w:p>
        </w:tc>
        <w:tc>
          <w:tcPr>
            <w:tcW w:w="143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国外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福利待遇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>
      <w:pPr>
        <w:spacing w:line="360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1.月薪标准：10000-15000元（驻外岗）、6000-10000元（国内岗），外加每年薪资调整年终奖；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2.福利补贴：</w:t>
      </w:r>
      <w:r>
        <w:rPr>
          <w:rFonts w:hint="eastAsia" w:asciiTheme="minorEastAsia" w:hAnsiTheme="minorEastAsia"/>
          <w:szCs w:val="21"/>
          <w:lang w:eastAsia="zh-CN"/>
        </w:rPr>
        <w:t>双休、五险、</w:t>
      </w:r>
      <w:r>
        <w:rPr>
          <w:rFonts w:hint="eastAsia" w:asciiTheme="minorEastAsia" w:hAnsiTheme="minorEastAsia"/>
          <w:szCs w:val="21"/>
        </w:rPr>
        <w:t>法定假日、</w:t>
      </w:r>
      <w:r>
        <w:rPr>
          <w:rFonts w:hint="eastAsia" w:asciiTheme="minorEastAsia" w:hAnsiTheme="minorEastAsia"/>
          <w:szCs w:val="21"/>
          <w:lang w:eastAsia="zh-CN"/>
        </w:rPr>
        <w:t>带薪年假、</w:t>
      </w:r>
      <w:r>
        <w:rPr>
          <w:rFonts w:hint="eastAsia" w:asciiTheme="minorEastAsia" w:hAnsiTheme="minorEastAsia"/>
          <w:szCs w:val="21"/>
        </w:rPr>
        <w:t>年度体检、员工旅游、各项补助、包吃住、</w:t>
      </w:r>
      <w:r>
        <w:rPr>
          <w:rFonts w:hint="eastAsia" w:asciiTheme="minorEastAsia" w:hAnsiTheme="minorEastAsia"/>
          <w:szCs w:val="21"/>
          <w:lang w:eastAsia="zh-CN"/>
        </w:rPr>
        <w:t>生日贺礼、</w:t>
      </w:r>
      <w:r>
        <w:rPr>
          <w:rFonts w:hint="eastAsia" w:asciiTheme="minorEastAsia" w:hAnsiTheme="minorEastAsia"/>
          <w:szCs w:val="21"/>
        </w:rPr>
        <w:t>节日福利、文化福利。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联系方式：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联 系 人：</w:t>
      </w:r>
      <w:r>
        <w:rPr>
          <w:rFonts w:hint="eastAsia" w:asciiTheme="minorEastAsia" w:hAnsiTheme="minorEastAsia"/>
          <w:szCs w:val="21"/>
          <w:lang w:eastAsia="zh-CN"/>
        </w:rPr>
        <w:t>王女士</w:t>
      </w:r>
    </w:p>
    <w:p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联系电话：0371-65553095、</w:t>
      </w:r>
      <w:r>
        <w:rPr>
          <w:rFonts w:hint="eastAsia" w:asciiTheme="minorEastAsia" w:hAnsiTheme="minorEastAsia"/>
          <w:szCs w:val="21"/>
          <w:lang w:val="en-US" w:eastAsia="zh-CN"/>
        </w:rPr>
        <w:t>15617955100（同微信）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联系邮箱：</w:t>
      </w:r>
      <w:r>
        <w:rPr>
          <w:rFonts w:hint="eastAsia" w:asciiTheme="minorEastAsia" w:hAnsiTheme="minorEastAsia"/>
          <w:szCs w:val="21"/>
          <w:lang w:val="en-US" w:eastAsia="zh-CN"/>
        </w:rPr>
        <w:t>83008650</w:t>
      </w:r>
      <w:r>
        <w:rPr>
          <w:rFonts w:hint="eastAsia" w:asciiTheme="minorEastAsia" w:hAnsiTheme="minorEastAsia"/>
          <w:szCs w:val="21"/>
        </w:rPr>
        <w:t>@</w:t>
      </w:r>
      <w:r>
        <w:rPr>
          <w:rFonts w:hint="eastAsia" w:asciiTheme="minorEastAsia" w:hAnsiTheme="minorEastAsia"/>
          <w:szCs w:val="21"/>
          <w:lang w:val="en-US" w:eastAsia="zh-CN"/>
        </w:rPr>
        <w:t>qq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.com</w:t>
      </w: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4CC"/>
    <w:rsid w:val="00007377"/>
    <w:rsid w:val="0007247C"/>
    <w:rsid w:val="000A25CE"/>
    <w:rsid w:val="00105030"/>
    <w:rsid w:val="00146C69"/>
    <w:rsid w:val="001E639B"/>
    <w:rsid w:val="002764E6"/>
    <w:rsid w:val="002C1B72"/>
    <w:rsid w:val="00317CC2"/>
    <w:rsid w:val="00357434"/>
    <w:rsid w:val="00360B23"/>
    <w:rsid w:val="003C1CFB"/>
    <w:rsid w:val="003F0923"/>
    <w:rsid w:val="004462F9"/>
    <w:rsid w:val="00486BEE"/>
    <w:rsid w:val="004E750E"/>
    <w:rsid w:val="005A6FC6"/>
    <w:rsid w:val="005C1B01"/>
    <w:rsid w:val="00677BC1"/>
    <w:rsid w:val="006E7EC7"/>
    <w:rsid w:val="007526E5"/>
    <w:rsid w:val="00765515"/>
    <w:rsid w:val="007934CC"/>
    <w:rsid w:val="007B24B8"/>
    <w:rsid w:val="007E57CB"/>
    <w:rsid w:val="00801737"/>
    <w:rsid w:val="008B04BC"/>
    <w:rsid w:val="00972841"/>
    <w:rsid w:val="00AF6009"/>
    <w:rsid w:val="00BB0F6D"/>
    <w:rsid w:val="00C04740"/>
    <w:rsid w:val="00C50F88"/>
    <w:rsid w:val="00CC4102"/>
    <w:rsid w:val="00D3075D"/>
    <w:rsid w:val="00D4065B"/>
    <w:rsid w:val="00D55F3B"/>
    <w:rsid w:val="00DA169F"/>
    <w:rsid w:val="061832D6"/>
    <w:rsid w:val="1BEC3196"/>
    <w:rsid w:val="23A719A6"/>
    <w:rsid w:val="2E217E2E"/>
    <w:rsid w:val="327B01C5"/>
    <w:rsid w:val="341147FC"/>
    <w:rsid w:val="40051750"/>
    <w:rsid w:val="404D0059"/>
    <w:rsid w:val="44116442"/>
    <w:rsid w:val="4FEB0392"/>
    <w:rsid w:val="59ED5A43"/>
    <w:rsid w:val="62AE67B7"/>
    <w:rsid w:val="687D1D77"/>
    <w:rsid w:val="6C5F49CC"/>
    <w:rsid w:val="72D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707</Characters>
  <Lines>5</Lines>
  <Paragraphs>1</Paragraphs>
  <TotalTime>25</TotalTime>
  <ScaleCrop>false</ScaleCrop>
  <LinksUpToDate>false</LinksUpToDate>
  <CharactersWithSpaces>829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2018-03-29T07:05:00Z</dcterms:created>
  <dc:creator>Administrator</dc:creator>
  <cp:lastModifiedBy>惠子</cp:lastModifiedBy>
  <cp:lastPrinted>2019-03-26T03:51:00Z</cp:lastPrinted>
  <dcterms:modified xsi:type="dcterms:W3CDTF">2020-12-30T07:36:37Z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