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</w:p>
    <w:p>
      <w:pPr>
        <w:spacing w:line="500" w:lineRule="exac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color w:val="C00000"/>
          <w:sz w:val="32"/>
          <w:szCs w:val="28"/>
        </w:rPr>
        <w:t>中谷海运集团2</w:t>
      </w:r>
      <w:r>
        <w:rPr>
          <w:rFonts w:ascii="微软雅黑" w:hAnsi="微软雅黑" w:eastAsia="微软雅黑"/>
          <w:b/>
          <w:color w:val="C00000"/>
          <w:sz w:val="32"/>
          <w:szCs w:val="28"/>
        </w:rPr>
        <w:t>022</w:t>
      </w:r>
      <w:r>
        <w:rPr>
          <w:rFonts w:hint="eastAsia" w:ascii="微软雅黑" w:hAnsi="微软雅黑" w:eastAsia="微软雅黑"/>
          <w:b/>
          <w:color w:val="C00000"/>
          <w:sz w:val="32"/>
          <w:szCs w:val="28"/>
        </w:rPr>
        <w:t>校园招聘简章</w:t>
      </w: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【关于中谷】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中谷海运集团是中国最早专业经营内贸集装箱航运的企业之一，历经多年发展，成为集</w:t>
      </w:r>
      <w:r>
        <w:rPr>
          <w:rFonts w:hint="eastAsia" w:ascii="微软雅黑" w:hAnsi="微软雅黑" w:eastAsia="微软雅黑"/>
          <w:b/>
          <w:color w:val="C00000"/>
        </w:rPr>
        <w:t>航运、物流、能源、贸易、金融、科技</w:t>
      </w:r>
      <w:r>
        <w:rPr>
          <w:rFonts w:hint="eastAsia" w:ascii="微软雅黑" w:hAnsi="微软雅黑" w:eastAsia="微软雅黑"/>
        </w:rPr>
        <w:t>等板块为一体的综合性现代化企业集团。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公司现下设200家分公司办事处，员工超过2300人，业务覆盖15个“一带一路”重点布局港口，辐射中国近30个省市，运力占全国内贸集装箱总运力的25%，中国TOP2集装箱物流企业，2021年3月</w:t>
      </w:r>
      <w:r>
        <w:rPr>
          <w:rFonts w:ascii="微软雅黑" w:hAnsi="微软雅黑" w:eastAsia="微软雅黑"/>
        </w:rPr>
        <w:t>中谷</w:t>
      </w:r>
      <w:r>
        <w:rPr>
          <w:rFonts w:hint="eastAsia" w:ascii="微软雅黑" w:hAnsi="微软雅黑" w:eastAsia="微软雅黑"/>
        </w:rPr>
        <w:t>首条</w:t>
      </w:r>
      <w:r>
        <w:rPr>
          <w:rFonts w:ascii="微软雅黑" w:hAnsi="微软雅黑" w:eastAsia="微软雅黑"/>
        </w:rPr>
        <w:t>外贸航线</w:t>
      </w:r>
      <w:r>
        <w:rPr>
          <w:rFonts w:hint="eastAsia" w:ascii="微软雅黑" w:hAnsi="微软雅黑" w:eastAsia="微软雅黑"/>
        </w:rPr>
        <w:t>正式运营，</w:t>
      </w:r>
      <w:r>
        <w:rPr>
          <w:rFonts w:ascii="微软雅黑" w:hAnsi="微软雅黑" w:eastAsia="微软雅黑"/>
        </w:rPr>
        <w:t>至此中谷逐步</w:t>
      </w:r>
      <w:r>
        <w:rPr>
          <w:rFonts w:hint="eastAsia" w:ascii="微软雅黑" w:hAnsi="微软雅黑" w:eastAsia="微软雅黑"/>
        </w:rPr>
        <w:t>由内贸驶向</w:t>
      </w:r>
      <w:r>
        <w:rPr>
          <w:rFonts w:ascii="微软雅黑" w:hAnsi="微软雅黑" w:eastAsia="微软雅黑"/>
        </w:rPr>
        <w:t>深</w:t>
      </w:r>
      <w:r>
        <w:rPr>
          <w:rFonts w:hint="eastAsia" w:ascii="微软雅黑" w:hAnsi="微软雅黑" w:eastAsia="微软雅黑"/>
        </w:rPr>
        <w:t>蓝。据国际权威航运咨询机构</w:t>
      </w:r>
      <w:r>
        <w:rPr>
          <w:rFonts w:ascii="微软雅黑" w:hAnsi="微软雅黑" w:eastAsia="微软雅黑"/>
        </w:rPr>
        <w:t>Alphaliner</w:t>
      </w:r>
      <w:r>
        <w:rPr>
          <w:rFonts w:hint="eastAsia" w:ascii="微软雅黑" w:hAnsi="微软雅黑" w:eastAsia="微软雅黑"/>
        </w:rPr>
        <w:t>最新公布数据显示——中谷海运集团旗下</w:t>
      </w:r>
      <w:r>
        <w:rPr>
          <w:rFonts w:hint="eastAsia" w:ascii="微软雅黑" w:hAnsi="微软雅黑" w:eastAsia="微软雅黑"/>
          <w:b/>
          <w:color w:val="C00000"/>
        </w:rPr>
        <w:t>上海中谷物流股份有限公司</w:t>
      </w:r>
      <w:r>
        <w:rPr>
          <w:rFonts w:hint="eastAsia" w:ascii="微软雅黑" w:hAnsi="微软雅黑" w:eastAsia="微软雅黑"/>
        </w:rPr>
        <w:t>运力排名</w:t>
      </w:r>
      <w:r>
        <w:rPr>
          <w:rFonts w:hint="eastAsia" w:ascii="微软雅黑" w:hAnsi="微软雅黑" w:eastAsia="微软雅黑"/>
          <w:b/>
          <w:color w:val="C00000"/>
        </w:rPr>
        <w:t>全球第1</w:t>
      </w:r>
      <w:r>
        <w:rPr>
          <w:rFonts w:ascii="微软雅黑" w:hAnsi="微软雅黑" w:eastAsia="微软雅黑"/>
          <w:b/>
          <w:color w:val="C00000"/>
        </w:rPr>
        <w:t>3</w:t>
      </w:r>
      <w:r>
        <w:rPr>
          <w:rFonts w:hint="eastAsia" w:ascii="微软雅黑" w:hAnsi="微软雅黑" w:eastAsia="微软雅黑"/>
          <w:b/>
          <w:color w:val="C00000"/>
        </w:rPr>
        <w:t>位</w:t>
      </w:r>
      <w:r>
        <w:rPr>
          <w:rFonts w:hint="eastAsia" w:ascii="微软雅黑" w:hAnsi="微软雅黑" w:eastAsia="微软雅黑"/>
        </w:rPr>
        <w:t>。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中谷被评定为</w:t>
      </w:r>
      <w:r>
        <w:rPr>
          <w:rFonts w:hint="eastAsia" w:ascii="微软雅黑" w:hAnsi="微软雅黑" w:eastAsia="微软雅黑"/>
          <w:b/>
          <w:color w:val="C00000"/>
        </w:rPr>
        <w:t>全国5A级物流企业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b/>
          <w:color w:val="C00000"/>
        </w:rPr>
        <w:t>中国交通运输协会副会长单位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/>
          <w:b/>
          <w:color w:val="C00000"/>
        </w:rPr>
        <w:t>中国船东协会副会长单位等殊荣</w:t>
      </w:r>
      <w:r>
        <w:rPr>
          <w:rFonts w:hint="eastAsia" w:ascii="微软雅黑" w:hAnsi="微软雅黑" w:eastAsia="微软雅黑"/>
        </w:rPr>
        <w:t>。在</w:t>
      </w:r>
      <w:r>
        <w:rPr>
          <w:rFonts w:ascii="微软雅黑" w:hAnsi="微软雅黑" w:eastAsia="微软雅黑"/>
        </w:rPr>
        <w:t>登陆</w:t>
      </w:r>
      <w:r>
        <w:rPr>
          <w:rFonts w:hint="eastAsia" w:ascii="微软雅黑" w:hAnsi="微软雅黑" w:eastAsia="微软雅黑"/>
        </w:rPr>
        <w:t>A股</w:t>
      </w:r>
      <w:r>
        <w:rPr>
          <w:rFonts w:ascii="微软雅黑" w:hAnsi="微软雅黑" w:eastAsia="微软雅黑"/>
        </w:rPr>
        <w:t>主</w:t>
      </w:r>
      <w:r>
        <w:rPr>
          <w:rFonts w:hint="eastAsia" w:ascii="微软雅黑" w:hAnsi="微软雅黑" w:eastAsia="微软雅黑"/>
        </w:rPr>
        <w:t>板市场</w:t>
      </w:r>
      <w:r>
        <w:rPr>
          <w:rFonts w:ascii="微软雅黑" w:hAnsi="微软雅黑" w:eastAsia="微软雅黑"/>
        </w:rPr>
        <w:t>之后，中谷</w:t>
      </w:r>
      <w:r>
        <w:rPr>
          <w:rFonts w:hint="eastAsia" w:ascii="微软雅黑" w:hAnsi="微软雅黑" w:eastAsia="微软雅黑"/>
        </w:rPr>
        <w:t>立足国内国际</w:t>
      </w:r>
      <w:r>
        <w:rPr>
          <w:rFonts w:ascii="微软雅黑" w:hAnsi="微软雅黑" w:eastAsia="微软雅黑"/>
        </w:rPr>
        <w:t>双循环的</w:t>
      </w:r>
      <w:r>
        <w:rPr>
          <w:rFonts w:hint="eastAsia" w:ascii="微软雅黑" w:hAnsi="微软雅黑" w:eastAsia="微软雅黑"/>
        </w:rPr>
        <w:t>全新战略</w:t>
      </w:r>
      <w:r>
        <w:rPr>
          <w:rFonts w:ascii="微软雅黑" w:hAnsi="微软雅黑" w:eastAsia="微软雅黑"/>
        </w:rPr>
        <w:t>格局，</w:t>
      </w:r>
      <w:r>
        <w:rPr>
          <w:rFonts w:hint="eastAsia" w:ascii="微软雅黑" w:hAnsi="微软雅黑" w:eastAsia="微软雅黑"/>
        </w:rPr>
        <w:t>积极稳妥推进募投项目的建设，构建更完善的集装箱物流网络，加快建设开放共享的多式联运一体化物流平台，坚持创新驱动，把握新时代机遇，在未来的集装箱物流市场竞争中抢占先机，实现“用集装箱改变中国物流方式”的企业使命！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【招聘对象】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1. 20</w:t>
      </w: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2届国内高校本科、研究生：毕业时间2022年1月1日-2022年7月31日；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2. 中国籍海外留学生：取得学位时间2021年9月1日-20</w:t>
      </w: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2年8月31日。</w:t>
      </w:r>
    </w:p>
    <w:p>
      <w:pPr>
        <w:spacing w:line="60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</w:rPr>
        <w:t>【薪资福利】</w:t>
      </w:r>
    </w:p>
    <w:p>
      <w:pPr>
        <w:spacing w:line="600" w:lineRule="exact"/>
        <w:ind w:firstLine="420" w:firstLineChars="200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薪资构成：基本薪资+绩效奖金+年终总裁大奖+合伙人激励</w:t>
      </w:r>
      <w:r>
        <w:rPr>
          <w:rFonts w:hint="eastAsia" w:ascii="微软雅黑" w:hAnsi="微软雅黑" w:eastAsia="微软雅黑"/>
          <w:lang w:eastAsia="zh-CN"/>
        </w:rPr>
        <w:t>。</w:t>
      </w:r>
    </w:p>
    <w:p>
      <w:pPr>
        <w:spacing w:line="600" w:lineRule="exact"/>
        <w:ind w:firstLine="420" w:firstLineChars="200"/>
        <w:rPr>
          <w:rFonts w:hint="default" w:ascii="微软雅黑" w:hAnsi="微软雅黑" w:eastAsia="微软雅黑"/>
          <w:b/>
          <w:color w:val="C00000"/>
          <w:lang w:val="en-US" w:eastAsia="zh-CN"/>
        </w:rPr>
      </w:pPr>
      <w:r>
        <w:rPr>
          <w:rFonts w:hint="eastAsia" w:ascii="微软雅黑" w:hAnsi="微软雅黑" w:eastAsia="微软雅黑"/>
          <w:b/>
          <w:color w:val="C00000"/>
          <w:lang w:eastAsia="zh-CN"/>
        </w:rPr>
        <w:t>转正后本科年薪</w:t>
      </w:r>
      <w:r>
        <w:rPr>
          <w:rFonts w:hint="eastAsia" w:ascii="微软雅黑" w:hAnsi="微软雅黑" w:eastAsia="微软雅黑"/>
          <w:b/>
          <w:color w:val="C00000"/>
          <w:lang w:val="en-US" w:eastAsia="zh-CN"/>
        </w:rPr>
        <w:t>10w-12w，研究生12w-14w。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补贴构成：午餐补贴+新员工宿舍(部分)+高温补贴+节日礼品+外派房补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福利体系：</w:t>
      </w:r>
      <w:r>
        <w:rPr>
          <w:rFonts w:ascii="微软雅黑" w:hAnsi="微软雅黑" w:eastAsia="微软雅黑"/>
        </w:rPr>
        <w:t>五险一金</w:t>
      </w:r>
      <w:r>
        <w:rPr>
          <w:rFonts w:hint="eastAsia" w:ascii="微软雅黑" w:hAnsi="微软雅黑" w:eastAsia="微软雅黑"/>
        </w:rPr>
        <w:t>+带薪年假+专业培训+年度体检+年终慰问+团建活动+爱心基金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落户</w:t>
      </w:r>
      <w:r>
        <w:rPr>
          <w:rFonts w:ascii="微软雅黑" w:hAnsi="微软雅黑" w:eastAsia="微软雅黑"/>
        </w:rPr>
        <w:t>优先：</w:t>
      </w:r>
      <w:r>
        <w:rPr>
          <w:rFonts w:hint="eastAsia" w:ascii="微软雅黑" w:hAnsi="微软雅黑" w:eastAsia="微软雅黑"/>
        </w:rPr>
        <w:t>全国各工作地均</w:t>
      </w:r>
      <w:r>
        <w:rPr>
          <w:rFonts w:ascii="微软雅黑" w:hAnsi="微软雅黑" w:eastAsia="微软雅黑"/>
        </w:rPr>
        <w:t>支持应届生落户申报+</w:t>
      </w:r>
      <w:r>
        <w:rPr>
          <w:rFonts w:hint="eastAsia" w:ascii="微软雅黑" w:hAnsi="微软雅黑" w:eastAsia="微软雅黑"/>
          <w:b/>
          <w:color w:val="FF0000"/>
        </w:rPr>
        <w:t>上海</w:t>
      </w:r>
      <w:r>
        <w:rPr>
          <w:rFonts w:ascii="微软雅黑" w:hAnsi="微软雅黑" w:eastAsia="微软雅黑"/>
          <w:b/>
          <w:color w:val="FF0000"/>
        </w:rPr>
        <w:t>享有优先落户通道</w:t>
      </w: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【职位需求】</w:t>
      </w:r>
    </w:p>
    <w:tbl>
      <w:tblPr>
        <w:tblStyle w:val="5"/>
        <w:tblW w:w="4915" w:type="pct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6"/>
        <w:gridCol w:w="1844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tblHeader/>
        </w:trPr>
        <w:tc>
          <w:tcPr>
            <w:tcW w:w="5000" w:type="pct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C00000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Cs w:val="18"/>
              </w:rPr>
              <w:t>总部岗位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</w:trPr>
        <w:tc>
          <w:tcPr>
            <w:tcW w:w="598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color w:val="C00000"/>
              </w:rPr>
              <w:br w:type="page"/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职位类别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职位名称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航运物流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航运管理</w:t>
            </w:r>
          </w:p>
        </w:tc>
        <w:tc>
          <w:tcPr>
            <w:tcW w:w="343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本科及以上学历，航运管理、物流管理、交通运输、物流工程相关专业优先考虑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集装箱管理</w:t>
            </w:r>
          </w:p>
        </w:tc>
        <w:tc>
          <w:tcPr>
            <w:tcW w:w="3432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物流管理</w:t>
            </w:r>
          </w:p>
        </w:tc>
        <w:tc>
          <w:tcPr>
            <w:tcW w:w="3432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燃油管理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学历，油气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储运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相关专业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优先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市场开发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本科及以上学历，市场营销相关专业优先考虑，具备较强的沟通、协调能力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船舶管理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海务助理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本科及以上学历，船舶管理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航海技术等相关专业优先考虑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电气助理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本科及以上学历，船舶电气、电气工程、自动化相关专业优先考虑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机务助理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本科及以上学历，轮机工程相关专业优先考虑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物料采购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本科及以上学历，专业不限，轮机、物流或采购相关专业优先考虑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IT技术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软件开发</w:t>
            </w:r>
          </w:p>
        </w:tc>
        <w:tc>
          <w:tcPr>
            <w:tcW w:w="343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硕士学历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计算机科学与技术、软件工程、网络安全相关专业优先考虑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网络安全</w:t>
            </w:r>
          </w:p>
        </w:tc>
        <w:tc>
          <w:tcPr>
            <w:tcW w:w="3432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财务商务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管理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，财务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、会计、审计、金融等相关专业优先考虑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商务管理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本科及以上学历，经济、贸易、物流、交通运输相关专业优先考虑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数据分析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本科及以上学历，经济、数学、分析、管理相关专业优先考虑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职能管理</w:t>
            </w: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投融资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硕士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学历，金融、经济学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相关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证券事务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硕士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学历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，金融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、经济学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工商管理等相关专业优先考虑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人力资源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硕士学历，人力、企业管理 、工商管理相关专业优先考虑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法务保险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硕士学历，法律、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航运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98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行政管理</w:t>
            </w:r>
          </w:p>
        </w:tc>
        <w:tc>
          <w:tcPr>
            <w:tcW w:w="343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本科及以上学历，专业不限，综合素质良好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000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color w:val="C00000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</w:rPr>
              <w:t>总部工作地址：上海市浦东新区东方路3261号</w:t>
            </w:r>
          </w:p>
        </w:tc>
      </w:tr>
    </w:tbl>
    <w:p>
      <w:pPr>
        <w:spacing w:line="600" w:lineRule="exact"/>
        <w:rPr>
          <w:rFonts w:hint="eastAsia" w:ascii="微软雅黑" w:hAnsi="微软雅黑" w:eastAsia="微软雅黑"/>
        </w:rPr>
      </w:pPr>
    </w:p>
    <w:p>
      <w:pPr>
        <w:spacing w:line="600" w:lineRule="exact"/>
        <w:rPr>
          <w:rFonts w:hint="eastAsia" w:ascii="微软雅黑" w:hAnsi="微软雅黑" w:eastAsia="微软雅黑"/>
        </w:rPr>
      </w:pPr>
    </w:p>
    <w:p>
      <w:pPr>
        <w:spacing w:line="600" w:lineRule="exact"/>
        <w:rPr>
          <w:rFonts w:hint="eastAsia" w:ascii="微软雅黑" w:hAnsi="微软雅黑" w:eastAsia="微软雅黑"/>
        </w:rPr>
      </w:pPr>
    </w:p>
    <w:p>
      <w:pPr>
        <w:spacing w:line="600" w:lineRule="exact"/>
        <w:rPr>
          <w:rFonts w:hint="eastAsia" w:ascii="微软雅黑" w:hAnsi="微软雅黑" w:eastAsia="微软雅黑"/>
        </w:rPr>
      </w:pPr>
    </w:p>
    <w:p>
      <w:pPr>
        <w:spacing w:line="600" w:lineRule="exact"/>
        <w:rPr>
          <w:rFonts w:hint="eastAsia" w:ascii="微软雅黑" w:hAnsi="微软雅黑" w:eastAsia="微软雅黑"/>
        </w:rPr>
      </w:pPr>
    </w:p>
    <w:p>
      <w:pPr>
        <w:spacing w:line="600" w:lineRule="exact"/>
        <w:rPr>
          <w:rFonts w:hint="eastAsia" w:ascii="微软雅黑" w:hAnsi="微软雅黑" w:eastAsia="微软雅黑"/>
        </w:rPr>
      </w:pPr>
    </w:p>
    <w:p>
      <w:pPr>
        <w:spacing w:line="600" w:lineRule="exact"/>
        <w:rPr>
          <w:rFonts w:hint="eastAsia" w:ascii="微软雅黑" w:hAnsi="微软雅黑" w:eastAsia="微软雅黑"/>
        </w:rPr>
      </w:pPr>
    </w:p>
    <w:tbl>
      <w:tblPr>
        <w:tblStyle w:val="5"/>
        <w:tblW w:w="4990" w:type="pct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1702"/>
        <w:gridCol w:w="1133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tblHeader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微软雅黑" w:hAnsi="微软雅黑" w:eastAsia="微软雅黑"/>
              </w:rPr>
              <w:br w:type="page"/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Cs w:val="18"/>
              </w:rPr>
              <w:t>片区岗位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Header/>
        </w:trPr>
        <w:tc>
          <w:tcPr>
            <w:tcW w:w="590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color w:val="C00000"/>
              </w:rPr>
              <w:br w:type="page"/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职位类别</w:t>
            </w: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职位名称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工作地点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航运物流</w:t>
            </w: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航运管理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本科及以上学历，航运、物流、交通运输相关专业优先考虑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集装箱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管理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本科及以上学历，航运管理、物流管理、物流工程相关专业优先考虑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市场开发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本科及以上学历，专业不限，具备较强的沟通、协调能力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现场操作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本科及以上学历，专业不限，身体素质良好，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较强的沟通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应变能力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多式联运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本科及以上学历，专业不限，细致耐心，具备较强的沟通、协调能力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财务商务</w:t>
            </w: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财务管理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本科及以上学历，财务、会计、经济、金融、贸易相关专业优先考虑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商务管理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职能管理</w:t>
            </w: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人力资源管理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本科及以上学历，人力资源相关专业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行政管理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本科及以上学历，专业不限，综合素质良好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90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新媒体编辑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</w:t>
            </w:r>
          </w:p>
        </w:tc>
        <w:tc>
          <w:tcPr>
            <w:tcW w:w="29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本科及以上学历，中文、新闻、广告、设计、编导相关专业优先考虑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color w:val="C00000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</w:rPr>
              <w:t>片区工作地址：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东北片区</w:t>
            </w:r>
            <w:r>
              <w:rPr>
                <w:rFonts w:ascii="微软雅黑" w:hAnsi="微软雅黑" w:eastAsia="微软雅黑"/>
              </w:rPr>
              <w:t>：</w:t>
            </w:r>
            <w:r>
              <w:rPr>
                <w:rFonts w:hint="eastAsia" w:ascii="微软雅黑" w:hAnsi="微软雅黑" w:eastAsia="微软雅黑"/>
              </w:rPr>
              <w:t>营口、大连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华北</w:t>
            </w:r>
            <w:r>
              <w:rPr>
                <w:rFonts w:ascii="微软雅黑" w:hAnsi="微软雅黑" w:eastAsia="微软雅黑"/>
              </w:rPr>
              <w:t>片区：</w:t>
            </w:r>
            <w:r>
              <w:rPr>
                <w:rFonts w:hint="eastAsia" w:ascii="微软雅黑" w:hAnsi="微软雅黑" w:eastAsia="微软雅黑"/>
              </w:rPr>
              <w:t>天津</w:t>
            </w:r>
            <w:r>
              <w:rPr>
                <w:rFonts w:ascii="微软雅黑" w:hAnsi="微软雅黑" w:eastAsia="微软雅黑"/>
              </w:rPr>
              <w:t>、石家庄、</w:t>
            </w:r>
            <w:r>
              <w:rPr>
                <w:rFonts w:hint="eastAsia" w:ascii="微软雅黑" w:hAnsi="微软雅黑" w:eastAsia="微软雅黑"/>
              </w:rPr>
              <w:t>唐山</w:t>
            </w:r>
            <w:r>
              <w:rPr>
                <w:rFonts w:ascii="微软雅黑" w:hAnsi="微软雅黑" w:eastAsia="微软雅黑"/>
              </w:rPr>
              <w:t>、黄骅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包头、京唐</w:t>
            </w:r>
          </w:p>
          <w:p>
            <w:pPr>
              <w:spacing w:line="360" w:lineRule="auto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山东片区</w:t>
            </w:r>
            <w:r>
              <w:rPr>
                <w:rFonts w:ascii="微软雅黑" w:hAnsi="微软雅黑" w:eastAsia="微软雅黑"/>
              </w:rPr>
              <w:t>：</w:t>
            </w:r>
            <w:r>
              <w:rPr>
                <w:rFonts w:hint="eastAsia" w:ascii="微软雅黑" w:hAnsi="微软雅黑" w:eastAsia="微软雅黑"/>
              </w:rPr>
              <w:t>青岛</w:t>
            </w:r>
            <w:r>
              <w:rPr>
                <w:rFonts w:ascii="微软雅黑" w:hAnsi="微软雅黑" w:eastAsia="微软雅黑"/>
              </w:rPr>
              <w:t>、日照、</w:t>
            </w:r>
            <w:r>
              <w:rPr>
                <w:rFonts w:hint="eastAsia" w:ascii="微软雅黑" w:hAnsi="微软雅黑" w:eastAsia="微软雅黑"/>
              </w:rPr>
              <w:t>潍坊</w:t>
            </w:r>
            <w:r>
              <w:rPr>
                <w:rFonts w:ascii="微软雅黑" w:hAnsi="微软雅黑" w:eastAsia="微软雅黑"/>
              </w:rPr>
              <w:t>、威海</w:t>
            </w:r>
            <w:r>
              <w:rPr>
                <w:rFonts w:hint="eastAsia" w:ascii="微软雅黑" w:hAnsi="微软雅黑" w:eastAsia="微软雅黑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烟台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华东</w:t>
            </w:r>
            <w:r>
              <w:rPr>
                <w:rFonts w:ascii="微软雅黑" w:hAnsi="微软雅黑" w:eastAsia="微软雅黑"/>
              </w:rPr>
              <w:t>片区：</w:t>
            </w:r>
            <w:r>
              <w:rPr>
                <w:rFonts w:hint="eastAsia" w:ascii="微软雅黑" w:hAnsi="微软雅黑" w:eastAsia="微软雅黑"/>
                <w:b/>
              </w:rPr>
              <w:t>上海</w:t>
            </w:r>
            <w:r>
              <w:rPr>
                <w:rFonts w:ascii="微软雅黑" w:hAnsi="微软雅黑" w:eastAsia="微软雅黑"/>
                <w:b/>
              </w:rPr>
              <w:t>（</w:t>
            </w:r>
            <w:r>
              <w:rPr>
                <w:rFonts w:hint="eastAsia" w:ascii="微软雅黑" w:hAnsi="微软雅黑" w:eastAsia="微软雅黑"/>
                <w:b/>
              </w:rPr>
              <w:t>宝山</w:t>
            </w:r>
            <w:r>
              <w:rPr>
                <w:rFonts w:ascii="微软雅黑" w:hAnsi="微软雅黑" w:eastAsia="微软雅黑"/>
                <w:b/>
              </w:rPr>
              <w:t>）</w:t>
            </w:r>
            <w:r>
              <w:rPr>
                <w:rFonts w:hint="eastAsia" w:ascii="微软雅黑" w:hAnsi="微软雅黑" w:eastAsia="微软雅黑"/>
              </w:rPr>
              <w:t>、宁波</w:t>
            </w:r>
            <w:r>
              <w:rPr>
                <w:rFonts w:ascii="微软雅黑" w:hAnsi="微软雅黑" w:eastAsia="微软雅黑"/>
              </w:rPr>
              <w:t>、</w:t>
            </w:r>
            <w:r>
              <w:rPr>
                <w:rFonts w:hint="eastAsia" w:ascii="微软雅黑" w:hAnsi="微软雅黑" w:eastAsia="微软雅黑"/>
              </w:rPr>
              <w:t>温州</w:t>
            </w:r>
            <w:r>
              <w:rPr>
                <w:rFonts w:ascii="微软雅黑" w:hAnsi="微软雅黑" w:eastAsia="微软雅黑"/>
              </w:rPr>
              <w:t>、</w:t>
            </w:r>
            <w:r>
              <w:rPr>
                <w:rFonts w:hint="eastAsia" w:ascii="微软雅黑" w:hAnsi="微软雅黑" w:eastAsia="微软雅黑"/>
              </w:rPr>
              <w:t>嘉兴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长江</w:t>
            </w:r>
            <w:r>
              <w:rPr>
                <w:rFonts w:ascii="微软雅黑" w:hAnsi="微软雅黑" w:eastAsia="微软雅黑"/>
              </w:rPr>
              <w:t>片区：</w:t>
            </w:r>
            <w:r>
              <w:rPr>
                <w:rFonts w:hint="eastAsia" w:ascii="微软雅黑" w:hAnsi="微软雅黑" w:eastAsia="微软雅黑"/>
              </w:rPr>
              <w:t>太仓</w:t>
            </w:r>
            <w:r>
              <w:rPr>
                <w:rFonts w:ascii="微软雅黑" w:hAnsi="微软雅黑" w:eastAsia="微软雅黑"/>
              </w:rPr>
              <w:t>、南京、</w:t>
            </w:r>
            <w:r>
              <w:rPr>
                <w:rFonts w:hint="eastAsia" w:ascii="微软雅黑" w:hAnsi="微软雅黑" w:eastAsia="微软雅黑"/>
              </w:rPr>
              <w:t>镇江</w:t>
            </w:r>
            <w:r>
              <w:rPr>
                <w:rFonts w:ascii="微软雅黑" w:hAnsi="微软雅黑" w:eastAsia="微软雅黑"/>
              </w:rPr>
              <w:t>、</w:t>
            </w:r>
            <w:r>
              <w:rPr>
                <w:rFonts w:hint="eastAsia" w:ascii="微软雅黑" w:hAnsi="微软雅黑" w:eastAsia="微软雅黑"/>
              </w:rPr>
              <w:t>扬州、</w:t>
            </w:r>
            <w:r>
              <w:rPr>
                <w:rFonts w:ascii="微软雅黑" w:hAnsi="微软雅黑" w:eastAsia="微软雅黑"/>
              </w:rPr>
              <w:t>常州、</w:t>
            </w:r>
            <w:r>
              <w:rPr>
                <w:rFonts w:hint="eastAsia" w:ascii="微软雅黑" w:hAnsi="微软雅黑" w:eastAsia="微软雅黑"/>
              </w:rPr>
              <w:t>盐城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华中片区</w:t>
            </w:r>
            <w:r>
              <w:rPr>
                <w:rFonts w:ascii="微软雅黑" w:hAnsi="微软雅黑" w:eastAsia="微软雅黑"/>
              </w:rPr>
              <w:t>：</w:t>
            </w:r>
            <w:r>
              <w:rPr>
                <w:rFonts w:hint="eastAsia" w:ascii="微软雅黑" w:hAnsi="微软雅黑" w:eastAsia="微软雅黑"/>
              </w:rPr>
              <w:t>武汉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东南片区</w:t>
            </w:r>
            <w:r>
              <w:rPr>
                <w:rFonts w:ascii="微软雅黑" w:hAnsi="微软雅黑" w:eastAsia="微软雅黑"/>
              </w:rPr>
              <w:t>：</w:t>
            </w:r>
            <w:r>
              <w:rPr>
                <w:rFonts w:hint="eastAsia" w:ascii="微软雅黑" w:hAnsi="微软雅黑" w:eastAsia="微软雅黑"/>
              </w:rPr>
              <w:t>厦门</w:t>
            </w:r>
            <w:r>
              <w:rPr>
                <w:rFonts w:ascii="微软雅黑" w:hAnsi="微软雅黑" w:eastAsia="微软雅黑"/>
              </w:rPr>
              <w:t>、泉州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汕头、福州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华南</w:t>
            </w:r>
            <w:r>
              <w:rPr>
                <w:rFonts w:ascii="微软雅黑" w:hAnsi="微软雅黑" w:eastAsia="微软雅黑"/>
              </w:rPr>
              <w:t>片区：</w:t>
            </w:r>
            <w:r>
              <w:rPr>
                <w:rFonts w:hint="eastAsia" w:ascii="微软雅黑" w:hAnsi="微软雅黑" w:eastAsia="微软雅黑"/>
              </w:rPr>
              <w:t>广州</w:t>
            </w:r>
            <w:r>
              <w:rPr>
                <w:rFonts w:ascii="微软雅黑" w:hAnsi="微软雅黑" w:eastAsia="微软雅黑"/>
              </w:rPr>
              <w:t>、深圳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中山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佛山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肇庆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江门</w:t>
            </w:r>
            <w:r>
              <w:rPr>
                <w:rFonts w:hint="eastAsia" w:ascii="微软雅黑" w:hAnsi="微软雅黑" w:eastAsia="微软雅黑"/>
              </w:rPr>
              <w:t>、</w:t>
            </w:r>
            <w:r>
              <w:rPr>
                <w:rFonts w:ascii="微软雅黑" w:hAnsi="微软雅黑" w:eastAsia="微软雅黑"/>
              </w:rPr>
              <w:t>梧州、</w:t>
            </w:r>
            <w:r>
              <w:rPr>
                <w:rFonts w:hint="eastAsia" w:ascii="微软雅黑" w:hAnsi="微软雅黑" w:eastAsia="微软雅黑"/>
              </w:rPr>
              <w:t>东莞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西南</w:t>
            </w:r>
            <w:r>
              <w:rPr>
                <w:rFonts w:ascii="微软雅黑" w:hAnsi="微软雅黑" w:eastAsia="微软雅黑"/>
              </w:rPr>
              <w:t>片区：</w:t>
            </w:r>
            <w:r>
              <w:rPr>
                <w:rFonts w:hint="eastAsia" w:ascii="微软雅黑" w:hAnsi="微软雅黑" w:eastAsia="微软雅黑"/>
              </w:rPr>
              <w:t>钦州</w:t>
            </w:r>
            <w:r>
              <w:rPr>
                <w:rFonts w:ascii="微软雅黑" w:hAnsi="微软雅黑" w:eastAsia="微软雅黑"/>
              </w:rPr>
              <w:t>、南宁</w:t>
            </w:r>
            <w:r>
              <w:rPr>
                <w:rFonts w:hint="eastAsia" w:ascii="微软雅黑" w:hAnsi="微软雅黑" w:eastAsia="微软雅黑"/>
              </w:rPr>
              <w:t>、防城</w:t>
            </w:r>
            <w:r>
              <w:rPr>
                <w:rFonts w:ascii="微软雅黑" w:hAnsi="微软雅黑" w:eastAsia="微软雅黑"/>
              </w:rPr>
              <w:t>、北海、</w:t>
            </w:r>
            <w:r>
              <w:rPr>
                <w:rFonts w:hint="eastAsia" w:ascii="微软雅黑" w:hAnsi="微软雅黑" w:eastAsia="微软雅黑"/>
              </w:rPr>
              <w:t>湛江</w:t>
            </w:r>
          </w:p>
        </w:tc>
      </w:tr>
    </w:tbl>
    <w:p>
      <w:pPr>
        <w:spacing w:line="600" w:lineRule="exact"/>
        <w:rPr>
          <w:rFonts w:hint="eastAsia" w:ascii="微软雅黑" w:hAnsi="微软雅黑" w:eastAsia="微软雅黑"/>
          <w:b/>
          <w:color w:val="C00000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color w:val="C00000"/>
          <w:sz w:val="32"/>
          <w:szCs w:val="32"/>
          <w:lang w:eastAsia="zh-CN"/>
        </w:rPr>
        <w:t>以上片区所有岗位不限专业！欢迎投递简历！</w:t>
      </w:r>
    </w:p>
    <w:p>
      <w:pPr>
        <w:spacing w:line="600" w:lineRule="exact"/>
        <w:rPr>
          <w:rFonts w:hint="eastAsia" w:ascii="微软雅黑" w:hAnsi="微软雅黑" w:eastAsia="微软雅黑"/>
          <w:b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color w:val="C00000"/>
          <w:sz w:val="32"/>
          <w:szCs w:val="32"/>
          <w:lang w:val="en-US" w:eastAsia="zh-CN"/>
        </w:rPr>
        <w:t>985、211学府待遇从优，职等你来！</w:t>
      </w:r>
    </w:p>
    <w:p>
      <w:pPr>
        <w:spacing w:line="600" w:lineRule="exact"/>
        <w:rPr>
          <w:rFonts w:hint="default" w:ascii="微软雅黑" w:hAnsi="微软雅黑" w:eastAsia="微软雅黑"/>
          <w:b/>
          <w:color w:val="C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</w:t>
      </w:r>
      <w:r>
        <w:rPr>
          <w:rFonts w:ascii="微软雅黑" w:hAnsi="微软雅黑" w:eastAsia="微软雅黑"/>
          <w:b/>
          <w:color w:val="C00000"/>
          <w:szCs w:val="21"/>
        </w:rPr>
        <w:t>未来之星</w:t>
      </w:r>
      <w:r>
        <w:rPr>
          <w:rFonts w:hint="eastAsia" w:ascii="微软雅黑" w:hAnsi="微软雅黑" w:eastAsia="微软雅黑"/>
          <w:b/>
          <w:color w:val="C00000"/>
        </w:rPr>
        <w:t>项目】</w:t>
      </w:r>
    </w:p>
    <w:p>
      <w:pPr>
        <w:spacing w:line="60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C00000"/>
          <w:szCs w:val="21"/>
        </w:rPr>
        <w:t>“中谷</w:t>
      </w:r>
      <w:r>
        <w:rPr>
          <w:rFonts w:ascii="微软雅黑" w:hAnsi="微软雅黑" w:eastAsia="微软雅黑"/>
          <w:b/>
          <w:color w:val="C00000"/>
          <w:szCs w:val="21"/>
        </w:rPr>
        <w:t>未来之星</w:t>
      </w:r>
      <w:r>
        <w:rPr>
          <w:rFonts w:hint="eastAsia" w:ascii="微软雅黑" w:hAnsi="微软雅黑" w:eastAsia="微软雅黑"/>
          <w:b/>
          <w:color w:val="C00000"/>
          <w:szCs w:val="21"/>
        </w:rPr>
        <w:t>”</w:t>
      </w:r>
      <w:r>
        <w:rPr>
          <w:rFonts w:hint="eastAsia" w:ascii="微软雅黑" w:hAnsi="微软雅黑" w:eastAsia="微软雅黑"/>
          <w:szCs w:val="21"/>
        </w:rPr>
        <w:t>旨在从内部培养高度契合中谷价值观、追求卓越</w:t>
      </w:r>
      <w:r>
        <w:rPr>
          <w:rFonts w:ascii="微软雅黑" w:hAnsi="微软雅黑" w:eastAsia="微软雅黑"/>
          <w:szCs w:val="21"/>
        </w:rPr>
        <w:t>、</w:t>
      </w:r>
      <w:r>
        <w:rPr>
          <w:rFonts w:hint="eastAsia" w:ascii="微软雅黑" w:hAnsi="微软雅黑" w:eastAsia="微软雅黑"/>
          <w:szCs w:val="21"/>
        </w:rPr>
        <w:t>敢于</w:t>
      </w:r>
      <w:r>
        <w:rPr>
          <w:rFonts w:ascii="微软雅黑" w:hAnsi="微软雅黑" w:eastAsia="微软雅黑"/>
          <w:szCs w:val="21"/>
        </w:rPr>
        <w:t>拼搏</w:t>
      </w:r>
      <w:r>
        <w:rPr>
          <w:rFonts w:hint="eastAsia" w:ascii="微软雅黑" w:hAnsi="微软雅黑" w:eastAsia="微软雅黑"/>
          <w:szCs w:val="21"/>
        </w:rPr>
        <w:t>、满怀</w:t>
      </w:r>
      <w:r>
        <w:rPr>
          <w:rFonts w:ascii="微软雅黑" w:hAnsi="微软雅黑" w:eastAsia="微软雅黑"/>
          <w:szCs w:val="21"/>
        </w:rPr>
        <w:t>激情、愿意与企业共同</w:t>
      </w:r>
      <w:r>
        <w:rPr>
          <w:rFonts w:hint="eastAsia" w:ascii="微软雅黑" w:hAnsi="微软雅黑" w:eastAsia="微软雅黑"/>
          <w:szCs w:val="21"/>
        </w:rPr>
        <w:t>成长的管理储备人才。</w:t>
      </w:r>
    </w:p>
    <w:p>
      <w:pPr>
        <w:spacing w:line="6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我们</w:t>
      </w:r>
      <w:r>
        <w:rPr>
          <w:rFonts w:ascii="微软雅黑" w:hAnsi="微软雅黑" w:eastAsia="微软雅黑"/>
          <w:b/>
          <w:szCs w:val="21"/>
        </w:rPr>
        <w:t>将提供：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科学的选拔方式——笔试、面试、人才测评、高管团队评估；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全面的培养体系——整合优势资源，通过专项培养体系，提升专业知识与业务能力；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快速的职位晋升——高层导师全程辅导，3-5年成长为高级主管、部门经理；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较高的薪资起点——具有竞争力</w:t>
      </w:r>
      <w:r>
        <w:rPr>
          <w:rFonts w:ascii="微软雅黑" w:hAnsi="微软雅黑" w:eastAsia="微软雅黑"/>
          <w:szCs w:val="21"/>
        </w:rPr>
        <w:t>的年薪，</w:t>
      </w:r>
      <w:r>
        <w:rPr>
          <w:rFonts w:hint="eastAsia" w:ascii="微软雅黑" w:hAnsi="微软雅黑" w:eastAsia="微软雅黑"/>
          <w:szCs w:val="21"/>
        </w:rPr>
        <w:t>其它地区依当地薪资水平浮动；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广阔的发展空间——中谷作为业内翘楚，处于高速成长阶段，在此可大有作为。</w:t>
      </w:r>
    </w:p>
    <w:p>
      <w:pPr>
        <w:spacing w:line="6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招募</w:t>
      </w:r>
      <w:r>
        <w:rPr>
          <w:rFonts w:ascii="微软雅黑" w:hAnsi="微软雅黑" w:eastAsia="微软雅黑"/>
          <w:b/>
          <w:szCs w:val="21"/>
        </w:rPr>
        <w:t>标准：</w:t>
      </w:r>
    </w:p>
    <w:p>
      <w:pPr>
        <w:spacing w:line="60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重点高校研究生，本科+研究生均为重点高校优先考虑。出色的沟通能力，擅长跨任务协同</w:t>
      </w:r>
      <w:r>
        <w:rPr>
          <w:rFonts w:ascii="微软雅黑" w:hAnsi="微软雅黑" w:eastAsia="微软雅黑"/>
          <w:szCs w:val="21"/>
        </w:rPr>
        <w:t>合作</w:t>
      </w:r>
      <w:r>
        <w:rPr>
          <w:rFonts w:hint="eastAsia" w:ascii="微软雅黑" w:hAnsi="微软雅黑" w:eastAsia="微软雅黑"/>
          <w:szCs w:val="21"/>
        </w:rPr>
        <w:t>；强烈的求知欲</w:t>
      </w:r>
      <w:r>
        <w:rPr>
          <w:rFonts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/>
          <w:szCs w:val="21"/>
        </w:rPr>
        <w:t>具备逻辑化的</w:t>
      </w:r>
      <w:r>
        <w:rPr>
          <w:rFonts w:ascii="微软雅黑" w:hAnsi="微软雅黑" w:eastAsia="微软雅黑"/>
          <w:szCs w:val="21"/>
        </w:rPr>
        <w:t>思考方式</w:t>
      </w:r>
      <w:r>
        <w:rPr>
          <w:rFonts w:hint="eastAsia" w:ascii="微软雅黑" w:hAnsi="微软雅黑" w:eastAsia="微软雅黑"/>
          <w:szCs w:val="21"/>
        </w:rPr>
        <w:t>与</w:t>
      </w:r>
      <w:r>
        <w:rPr>
          <w:rFonts w:ascii="微软雅黑" w:hAnsi="微软雅黑" w:eastAsia="微软雅黑"/>
          <w:szCs w:val="21"/>
        </w:rPr>
        <w:t>优秀的文字表达能力</w:t>
      </w:r>
      <w:r>
        <w:rPr>
          <w:rFonts w:hint="eastAsia" w:ascii="微软雅黑" w:hAnsi="微软雅黑" w:eastAsia="微软雅黑"/>
          <w:szCs w:val="21"/>
        </w:rPr>
        <w:t>；不惧挑战，追求个人价值实现与事业成功，</w:t>
      </w:r>
      <w:r>
        <w:rPr>
          <w:rFonts w:ascii="微软雅黑" w:hAnsi="微软雅黑" w:eastAsia="微软雅黑"/>
          <w:szCs w:val="21"/>
        </w:rPr>
        <w:t>愿意与企业长期共同发展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ascii="微软雅黑" w:hAnsi="微软雅黑" w:eastAsia="微软雅黑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60960</wp:posOffset>
            </wp:positionV>
            <wp:extent cx="1022985" cy="1028700"/>
            <wp:effectExtent l="0" t="0" r="571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C00000"/>
        </w:rPr>
        <w:t>【应聘方式】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1. 网申通道：</w:t>
      </w:r>
      <w:r>
        <w:rPr>
          <w:rFonts w:ascii="微软雅黑" w:hAnsi="微软雅黑" w:eastAsia="微软雅黑"/>
          <w:szCs w:val="21"/>
        </w:rPr>
        <w:t>http://zhaopin.zhonggu56.com/</w:t>
      </w:r>
    </w:p>
    <w:p>
      <w:pPr>
        <w:spacing w:line="6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</w:rPr>
        <w:t xml:space="preserve">2. </w:t>
      </w:r>
      <w:r>
        <w:rPr>
          <w:rFonts w:hint="eastAsia" w:ascii="微软雅黑" w:hAnsi="微软雅黑" w:eastAsia="微软雅黑"/>
        </w:rPr>
        <w:t>扫描右侧网申二维码，如遇问题</w:t>
      </w:r>
      <w:r>
        <w:rPr>
          <w:rFonts w:ascii="微软雅黑" w:hAnsi="微软雅黑" w:eastAsia="微软雅黑"/>
        </w:rPr>
        <w:t>请联系邮箱：</w:t>
      </w:r>
      <w:r>
        <w:rPr>
          <w:rFonts w:hint="eastAsia" w:ascii="微软雅黑" w:hAnsi="微软雅黑" w:eastAsia="微软雅黑"/>
        </w:rPr>
        <w:t>HRZP</w:t>
      </w:r>
      <w:r>
        <w:rPr>
          <w:rFonts w:ascii="微软雅黑" w:hAnsi="微软雅黑" w:eastAsia="微软雅黑"/>
        </w:rPr>
        <w:t>@zhonggu56.com</w:t>
      </w: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</w:p>
    <w:p>
      <w:pPr>
        <w:spacing w:line="600" w:lineRule="exact"/>
        <w:rPr>
          <w:rFonts w:ascii="微软雅黑" w:hAnsi="微软雅黑" w:eastAsia="微软雅黑"/>
          <w:b/>
          <w:color w:val="C00000"/>
        </w:rPr>
      </w:pPr>
      <w:r>
        <w:rPr>
          <w:rFonts w:hint="eastAsia" w:ascii="微软雅黑" w:hAnsi="微软雅黑" w:eastAsia="微软雅黑"/>
          <w:b/>
          <w:color w:val="C00000"/>
        </w:rPr>
        <w:t>【联系方式】</w:t>
      </w:r>
    </w:p>
    <w:p>
      <w:pPr>
        <w:spacing w:line="600" w:lineRule="exac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HR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  <w:lang w:eastAsia="zh-CN"/>
        </w:rPr>
        <w:t>吴雪娇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18863948273</w:t>
      </w:r>
    </w:p>
    <w:p>
      <w:pPr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邮箱：wuxuejiao@zhonggu56.com</w:t>
      </w:r>
      <w:bookmarkStart w:id="0" w:name="_GoBack"/>
      <w:bookmarkEnd w:id="0"/>
    </w:p>
    <w:p>
      <w:pPr>
        <w:spacing w:line="600" w:lineRule="exact"/>
        <w:jc w:val="right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 xml:space="preserve">星汇中谷， </w:t>
      </w:r>
      <w:r>
        <w:rPr>
          <w:rFonts w:ascii="微软雅黑" w:hAnsi="微软雅黑" w:eastAsia="微软雅黑"/>
          <w:b/>
          <w:color w:val="FF0000"/>
          <w:sz w:val="28"/>
        </w:rPr>
        <w:t>百舸争流聚英才！</w:t>
      </w:r>
    </w:p>
    <w:p>
      <w:pPr>
        <w:spacing w:line="600" w:lineRule="exact"/>
        <w:jc w:val="right"/>
        <w:rPr>
          <w:rFonts w:ascii="微软雅黑" w:hAnsi="微软雅黑" w:eastAsia="微软雅黑"/>
          <w:b/>
          <w:color w:val="FF0000"/>
          <w:sz w:val="28"/>
        </w:rPr>
      </w:pPr>
      <w:r>
        <w:rPr>
          <w:rFonts w:hint="eastAsia" w:ascii="微软雅黑" w:hAnsi="微软雅黑" w:eastAsia="微软雅黑"/>
          <w:b/>
          <w:color w:val="FF0000"/>
          <w:sz w:val="28"/>
        </w:rPr>
        <w:t>智引未来，</w:t>
      </w:r>
      <w:r>
        <w:rPr>
          <w:rFonts w:ascii="微软雅黑" w:hAnsi="微软雅黑" w:eastAsia="微软雅黑"/>
          <w:b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b/>
          <w:color w:val="FF0000"/>
          <w:sz w:val="28"/>
        </w:rPr>
        <w:t>群贤毕集创</w:t>
      </w:r>
      <w:r>
        <w:rPr>
          <w:rFonts w:ascii="微软雅黑" w:hAnsi="微软雅黑" w:eastAsia="微软雅黑"/>
          <w:b/>
          <w:color w:val="FF0000"/>
          <w:sz w:val="28"/>
        </w:rPr>
        <w:t>荣光！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1681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500" w:lineRule="exact"/>
      <w:jc w:val="right"/>
      <w:rPr>
        <w:rFonts w:ascii="微软雅黑" w:hAnsi="微软雅黑" w:eastAsia="微软雅黑"/>
        <w:sz w:val="18"/>
        <w:szCs w:val="18"/>
      </w:rPr>
    </w:pPr>
    <w:r>
      <w:rPr>
        <w:rFonts w:ascii="微软雅黑" w:hAnsi="微软雅黑" w:eastAsia="微软雅黑"/>
        <w:b/>
        <w:color w:val="F62F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-1076325</wp:posOffset>
              </wp:positionH>
              <wp:positionV relativeFrom="paragraph">
                <wp:posOffset>288925</wp:posOffset>
              </wp:positionV>
              <wp:extent cx="8999855" cy="0"/>
              <wp:effectExtent l="0" t="0" r="29845" b="1905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985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C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84.75pt;margin-top:22.75pt;height:0pt;width:708.65pt;z-index:251660288;mso-width-relative:page;mso-height-relative:page;" filled="f" stroked="t" coordsize="21600,21600" o:gfxdata="UEsDBAoAAAAAAIdO4kAAAAAAAAAAAAAAAAAEAAAAZHJzL1BLAwQUAAAACACHTuJAkOLUG9gAAAAL&#10;AQAADwAAAGRycy9kb3ducmV2LnhtbE2PzW7CMBCE75X6DtZW6g2cUKAlxEEqEoeeqgIPsImNHTVe&#10;h9j89O27qIdyWu3OaPabcnX1nTibIbaBFOTjDIShJuiWrIL9bjN6AxETksYukFHwYyKsqseHEgsd&#10;LvRlzttkBYdQLFCBS6kvpIyNMx7jOPSGWDuEwWPidbBSD3jhcN/JSZbNpceW+IPD3qydab63J6/A&#10;rmW+Cz1uYn48uvrl49Pu3w9KPT/l2RJEMtf0b4YbPqNDxUx1OJGOolMwyueLGXsVTGc8b47J9JXb&#10;1H8XWZXyvkP1C1BLAwQUAAAACACHTuJAxjZJmNwBAADBAwAADgAAAGRycy9lMm9Eb2MueG1srVNN&#10;b9swDL0P2H8QdF/sZMuQGHGKIUF36bYC7X6AIsu2MFkUSCVO/v0o5WNdd+lhPgiSSL7H9yiv7o6D&#10;EweDZMHXcjoppTBeQ2N9V8ufz/cfFlJQVL5RDryp5cmQvFu/f7caQ2Vm0INrDAoG8VSNoZZ9jKEq&#10;CtK9GRRNIBjPwRZwUJGP2BUNqpHRB1fMyvJzMQI2AUEbIr7dnoPygohvAYS2tdpsQe8H4+MZFY1T&#10;kSVRbwPJde62bY2OP9qWTBSulqw05pVJeL9La7FeqapDFXqrLy2ot7TwStOgrGfSG9RWRSX2aP+B&#10;GqxGIGjjRMNQnIVkR1jFtHzlzVOvgsla2GoKN9Pp/8Hq74dHFLap5UcpvBp44F/2ETKzmCV7xkAV&#10;Z238IyaB+uifwgPoXyQ8bHrlO5OTn0+Ba6epovirJB0oMMlu/AYN5yjGz14dWxwSJLsgjnkkp9tI&#10;zDEKzZeL5XK5mM+l0NdYoaprYUCKXw0MIm1qSRGV7fq4Ae958IDTTKMODxRTW6q6FiRWD/fWuTx/&#10;58VYy9n8U1nmCgJnmxRNeYTdbuNQHBQ/oU2ZviySIy/TEPa+ObM4n+pMfn0X6qsJZzt30Jwe8eoU&#10;TzY3d3mF6em8PGc///x5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4tQb2AAAAAsBAAAPAAAA&#10;AAAAAAEAIAAAACIAAABkcnMvZG93bnJldi54bWxQSwECFAAUAAAACACHTuJAxjZJmNwBAADBAwAA&#10;DgAAAAAAAAABACAAAAAnAQAAZHJzL2Uyb0RvYy54bWxQSwUGAAAAAAYABgBZAQAAdQUAAAAA&#10;">
              <v:fill on="f" focussize="0,0"/>
              <v:stroke weight="2pt" color="#C00000" joinstyle="round"/>
              <v:imagedata o:title=""/>
              <o:lock v:ext="edit" aspectratio="f"/>
            </v:shape>
          </w:pict>
        </mc:Fallback>
      </mc:AlternateContent>
    </w:r>
    <w:r>
      <w:rPr>
        <w:rFonts w:ascii="微软雅黑" w:hAnsi="微软雅黑" w:eastAsia="微软雅黑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-197485</wp:posOffset>
          </wp:positionV>
          <wp:extent cx="1073150" cy="461645"/>
          <wp:effectExtent l="0" t="0" r="0" b="0"/>
          <wp:wrapSquare wrapText="bothSides"/>
          <wp:docPr id="13" name="图片 13" descr="D:\制图\公司logo\集团-红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D:\制图\公司logo\集团-红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1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sz w:val="18"/>
        <w:szCs w:val="18"/>
      </w:rPr>
      <w:t xml:space="preserve">中谷海运集团 </w:t>
    </w:r>
    <w:r>
      <w:rPr>
        <w:rFonts w:ascii="微软雅黑" w:hAnsi="微软雅黑" w:eastAsia="微软雅黑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B7435"/>
    <w:multiLevelType w:val="multilevel"/>
    <w:tmpl w:val="1BCB7435"/>
    <w:lvl w:ilvl="0" w:tentative="0">
      <w:start w:val="1"/>
      <w:numFmt w:val="bullet"/>
      <w:lvlText w:val=""/>
      <w:lvlJc w:val="left"/>
      <w:pPr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A6"/>
    <w:rsid w:val="00004989"/>
    <w:rsid w:val="000051E2"/>
    <w:rsid w:val="0002050C"/>
    <w:rsid w:val="00034EFD"/>
    <w:rsid w:val="00042DA6"/>
    <w:rsid w:val="00052E32"/>
    <w:rsid w:val="00055CA6"/>
    <w:rsid w:val="00063967"/>
    <w:rsid w:val="0006783E"/>
    <w:rsid w:val="00070D57"/>
    <w:rsid w:val="000B2DCB"/>
    <w:rsid w:val="000B58F9"/>
    <w:rsid w:val="000C40F0"/>
    <w:rsid w:val="000D3EB4"/>
    <w:rsid w:val="000E4CD2"/>
    <w:rsid w:val="000F4A51"/>
    <w:rsid w:val="00103158"/>
    <w:rsid w:val="001041ED"/>
    <w:rsid w:val="0010684E"/>
    <w:rsid w:val="00107D91"/>
    <w:rsid w:val="00111F1B"/>
    <w:rsid w:val="00111F37"/>
    <w:rsid w:val="00117DA4"/>
    <w:rsid w:val="001215EE"/>
    <w:rsid w:val="0012317C"/>
    <w:rsid w:val="001362B4"/>
    <w:rsid w:val="00151C64"/>
    <w:rsid w:val="001551C7"/>
    <w:rsid w:val="00162879"/>
    <w:rsid w:val="00182841"/>
    <w:rsid w:val="00182D46"/>
    <w:rsid w:val="001B7838"/>
    <w:rsid w:val="001D3939"/>
    <w:rsid w:val="001F3724"/>
    <w:rsid w:val="00203C9D"/>
    <w:rsid w:val="00222A2E"/>
    <w:rsid w:val="00227198"/>
    <w:rsid w:val="00243621"/>
    <w:rsid w:val="00244B3B"/>
    <w:rsid w:val="0025303D"/>
    <w:rsid w:val="00253C5E"/>
    <w:rsid w:val="00257300"/>
    <w:rsid w:val="00260DC7"/>
    <w:rsid w:val="002801D9"/>
    <w:rsid w:val="002C604C"/>
    <w:rsid w:val="002F1561"/>
    <w:rsid w:val="002F7C41"/>
    <w:rsid w:val="00301F7F"/>
    <w:rsid w:val="00302A69"/>
    <w:rsid w:val="00320F0E"/>
    <w:rsid w:val="00324E5D"/>
    <w:rsid w:val="00326481"/>
    <w:rsid w:val="003650F7"/>
    <w:rsid w:val="0036654B"/>
    <w:rsid w:val="00380374"/>
    <w:rsid w:val="00382D6B"/>
    <w:rsid w:val="003B50E4"/>
    <w:rsid w:val="003B709D"/>
    <w:rsid w:val="003C0592"/>
    <w:rsid w:val="003C18A9"/>
    <w:rsid w:val="003C284A"/>
    <w:rsid w:val="003D56D2"/>
    <w:rsid w:val="003E4751"/>
    <w:rsid w:val="003F2EBE"/>
    <w:rsid w:val="0040746D"/>
    <w:rsid w:val="00417741"/>
    <w:rsid w:val="00422E5B"/>
    <w:rsid w:val="0043305A"/>
    <w:rsid w:val="00440BD3"/>
    <w:rsid w:val="00445899"/>
    <w:rsid w:val="00447A57"/>
    <w:rsid w:val="00453B25"/>
    <w:rsid w:val="0046164A"/>
    <w:rsid w:val="00480CBC"/>
    <w:rsid w:val="00481212"/>
    <w:rsid w:val="00494482"/>
    <w:rsid w:val="00494E8F"/>
    <w:rsid w:val="004A6388"/>
    <w:rsid w:val="004C4C14"/>
    <w:rsid w:val="004C64C1"/>
    <w:rsid w:val="004D3012"/>
    <w:rsid w:val="004E0D3C"/>
    <w:rsid w:val="004F21D0"/>
    <w:rsid w:val="00507B76"/>
    <w:rsid w:val="00536172"/>
    <w:rsid w:val="00546CE5"/>
    <w:rsid w:val="0055372D"/>
    <w:rsid w:val="00576CF0"/>
    <w:rsid w:val="005852B4"/>
    <w:rsid w:val="005929DF"/>
    <w:rsid w:val="00593EC1"/>
    <w:rsid w:val="0059589F"/>
    <w:rsid w:val="00597A86"/>
    <w:rsid w:val="005A2891"/>
    <w:rsid w:val="005B55EE"/>
    <w:rsid w:val="005C3D98"/>
    <w:rsid w:val="005C650B"/>
    <w:rsid w:val="005D2D5D"/>
    <w:rsid w:val="005D4E42"/>
    <w:rsid w:val="005E5AA3"/>
    <w:rsid w:val="005F3155"/>
    <w:rsid w:val="005F7DF4"/>
    <w:rsid w:val="00601C56"/>
    <w:rsid w:val="00610C16"/>
    <w:rsid w:val="00612A1B"/>
    <w:rsid w:val="006203D2"/>
    <w:rsid w:val="00630CA7"/>
    <w:rsid w:val="0063375E"/>
    <w:rsid w:val="00653AC7"/>
    <w:rsid w:val="006611DA"/>
    <w:rsid w:val="006753CA"/>
    <w:rsid w:val="00681700"/>
    <w:rsid w:val="00687BCA"/>
    <w:rsid w:val="0069113C"/>
    <w:rsid w:val="00697A29"/>
    <w:rsid w:val="006B6DA0"/>
    <w:rsid w:val="006C0CD4"/>
    <w:rsid w:val="006E27FF"/>
    <w:rsid w:val="006F041D"/>
    <w:rsid w:val="00705475"/>
    <w:rsid w:val="0071148D"/>
    <w:rsid w:val="0071258B"/>
    <w:rsid w:val="00716AD5"/>
    <w:rsid w:val="00717DAB"/>
    <w:rsid w:val="0072268A"/>
    <w:rsid w:val="00735C8F"/>
    <w:rsid w:val="00740984"/>
    <w:rsid w:val="007516B7"/>
    <w:rsid w:val="00760377"/>
    <w:rsid w:val="0077285D"/>
    <w:rsid w:val="007877C6"/>
    <w:rsid w:val="007A68CF"/>
    <w:rsid w:val="007D1922"/>
    <w:rsid w:val="007F3749"/>
    <w:rsid w:val="007F5094"/>
    <w:rsid w:val="00806904"/>
    <w:rsid w:val="008122C5"/>
    <w:rsid w:val="0081351D"/>
    <w:rsid w:val="00822CF4"/>
    <w:rsid w:val="00823D2D"/>
    <w:rsid w:val="00844A64"/>
    <w:rsid w:val="00854080"/>
    <w:rsid w:val="00883FE0"/>
    <w:rsid w:val="008873F6"/>
    <w:rsid w:val="008A0059"/>
    <w:rsid w:val="008B070C"/>
    <w:rsid w:val="008B48D5"/>
    <w:rsid w:val="008C359F"/>
    <w:rsid w:val="008D10D9"/>
    <w:rsid w:val="0092499C"/>
    <w:rsid w:val="00925598"/>
    <w:rsid w:val="00931C0C"/>
    <w:rsid w:val="00956ABB"/>
    <w:rsid w:val="0096290C"/>
    <w:rsid w:val="0096377E"/>
    <w:rsid w:val="00964BC1"/>
    <w:rsid w:val="00981931"/>
    <w:rsid w:val="009A22E8"/>
    <w:rsid w:val="009D511D"/>
    <w:rsid w:val="00A14ACE"/>
    <w:rsid w:val="00A37B84"/>
    <w:rsid w:val="00A4758F"/>
    <w:rsid w:val="00A71A26"/>
    <w:rsid w:val="00A826A3"/>
    <w:rsid w:val="00A82CC3"/>
    <w:rsid w:val="00A8572A"/>
    <w:rsid w:val="00A9511A"/>
    <w:rsid w:val="00AA3321"/>
    <w:rsid w:val="00AA4288"/>
    <w:rsid w:val="00AB7217"/>
    <w:rsid w:val="00AC03C4"/>
    <w:rsid w:val="00AC434B"/>
    <w:rsid w:val="00AD1D78"/>
    <w:rsid w:val="00AD2FBA"/>
    <w:rsid w:val="00AD6156"/>
    <w:rsid w:val="00AD76ED"/>
    <w:rsid w:val="00B1111D"/>
    <w:rsid w:val="00B208B9"/>
    <w:rsid w:val="00B23180"/>
    <w:rsid w:val="00B4079C"/>
    <w:rsid w:val="00B41920"/>
    <w:rsid w:val="00B64B93"/>
    <w:rsid w:val="00B67437"/>
    <w:rsid w:val="00B77984"/>
    <w:rsid w:val="00B80362"/>
    <w:rsid w:val="00B8554C"/>
    <w:rsid w:val="00B8675D"/>
    <w:rsid w:val="00BA5078"/>
    <w:rsid w:val="00BC3AF4"/>
    <w:rsid w:val="00BC628F"/>
    <w:rsid w:val="00BE12FE"/>
    <w:rsid w:val="00BE4870"/>
    <w:rsid w:val="00C004C0"/>
    <w:rsid w:val="00C037CA"/>
    <w:rsid w:val="00C045F0"/>
    <w:rsid w:val="00C16B67"/>
    <w:rsid w:val="00C2026F"/>
    <w:rsid w:val="00C211A4"/>
    <w:rsid w:val="00C355E9"/>
    <w:rsid w:val="00C443A3"/>
    <w:rsid w:val="00C514AE"/>
    <w:rsid w:val="00C801D0"/>
    <w:rsid w:val="00C87C97"/>
    <w:rsid w:val="00CA0F91"/>
    <w:rsid w:val="00CB78A7"/>
    <w:rsid w:val="00CC08D9"/>
    <w:rsid w:val="00CC3103"/>
    <w:rsid w:val="00CE7F7B"/>
    <w:rsid w:val="00CF1E76"/>
    <w:rsid w:val="00CF56D4"/>
    <w:rsid w:val="00CF5B14"/>
    <w:rsid w:val="00D0422D"/>
    <w:rsid w:val="00D06A31"/>
    <w:rsid w:val="00D06C4D"/>
    <w:rsid w:val="00D223F0"/>
    <w:rsid w:val="00D313BD"/>
    <w:rsid w:val="00D31ECF"/>
    <w:rsid w:val="00D52428"/>
    <w:rsid w:val="00D54D95"/>
    <w:rsid w:val="00D70108"/>
    <w:rsid w:val="00D7048C"/>
    <w:rsid w:val="00DA1BE3"/>
    <w:rsid w:val="00DA5968"/>
    <w:rsid w:val="00DC37C9"/>
    <w:rsid w:val="00DC7E05"/>
    <w:rsid w:val="00DD2F36"/>
    <w:rsid w:val="00DE2F62"/>
    <w:rsid w:val="00DF45A9"/>
    <w:rsid w:val="00E02B0C"/>
    <w:rsid w:val="00E06EBA"/>
    <w:rsid w:val="00E10B74"/>
    <w:rsid w:val="00E216D4"/>
    <w:rsid w:val="00E23BCE"/>
    <w:rsid w:val="00E27DD7"/>
    <w:rsid w:val="00E304BA"/>
    <w:rsid w:val="00E430C8"/>
    <w:rsid w:val="00E469FD"/>
    <w:rsid w:val="00E508DE"/>
    <w:rsid w:val="00E5171A"/>
    <w:rsid w:val="00E6067A"/>
    <w:rsid w:val="00E67A8E"/>
    <w:rsid w:val="00E67DE5"/>
    <w:rsid w:val="00E867E8"/>
    <w:rsid w:val="00E90967"/>
    <w:rsid w:val="00EE19B0"/>
    <w:rsid w:val="00EF2C05"/>
    <w:rsid w:val="00F07042"/>
    <w:rsid w:val="00F101BB"/>
    <w:rsid w:val="00F15CF1"/>
    <w:rsid w:val="00F23D74"/>
    <w:rsid w:val="00F3073B"/>
    <w:rsid w:val="00F30B69"/>
    <w:rsid w:val="00F37E66"/>
    <w:rsid w:val="00F4699D"/>
    <w:rsid w:val="00F56BA3"/>
    <w:rsid w:val="00F56F10"/>
    <w:rsid w:val="00F638E7"/>
    <w:rsid w:val="00F72BED"/>
    <w:rsid w:val="00F73700"/>
    <w:rsid w:val="00F875C3"/>
    <w:rsid w:val="00F9469B"/>
    <w:rsid w:val="00F96E95"/>
    <w:rsid w:val="00F96F1D"/>
    <w:rsid w:val="00F9790B"/>
    <w:rsid w:val="00FD794F"/>
    <w:rsid w:val="00FF4480"/>
    <w:rsid w:val="019063DB"/>
    <w:rsid w:val="04E97C53"/>
    <w:rsid w:val="06E45CB5"/>
    <w:rsid w:val="1639015F"/>
    <w:rsid w:val="1AE41898"/>
    <w:rsid w:val="1D4A449C"/>
    <w:rsid w:val="2E8C7AD4"/>
    <w:rsid w:val="33BE306E"/>
    <w:rsid w:val="39380BD2"/>
    <w:rsid w:val="397B6BAD"/>
    <w:rsid w:val="3F17116A"/>
    <w:rsid w:val="412860BF"/>
    <w:rsid w:val="4BA26B86"/>
    <w:rsid w:val="52347A9C"/>
    <w:rsid w:val="55EF7CE1"/>
    <w:rsid w:val="5ACE1D2B"/>
    <w:rsid w:val="5B904ACB"/>
    <w:rsid w:val="601C7429"/>
    <w:rsid w:val="62397C16"/>
    <w:rsid w:val="740C58A4"/>
    <w:rsid w:val="7C6A024E"/>
    <w:rsid w:val="7FB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DC24E6-95AD-44E8-85DC-A213D3E71A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382</Words>
  <Characters>2183</Characters>
  <Lines>18</Lines>
  <Paragraphs>5</Paragraphs>
  <TotalTime>0</TotalTime>
  <ScaleCrop>false</ScaleCrop>
  <LinksUpToDate>false</LinksUpToDate>
  <CharactersWithSpaces>2560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2020-08-14T09:58:00Z</dcterms:created>
  <dc:creator>WW</dc:creator>
  <cp:lastModifiedBy>沫沫沫</cp:lastModifiedBy>
  <cp:lastPrinted>2018-12-05T06:58:00Z</cp:lastPrinted>
  <dcterms:modified xsi:type="dcterms:W3CDTF">2021-09-29T08:07:08Z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DB7BDF136B164CC2836E2966B0723B3A</vt:lpwstr>
  </property>
</Properties>
</file>