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湖南理工学院高层次人才引进待遇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387"/>
        <w:gridCol w:w="5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05" w:type="dxa"/>
            <w:tcBorders>
              <w:top w:val="thinThickSmallGap" w:color="auto" w:sz="2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人才层次</w:t>
            </w:r>
          </w:p>
        </w:tc>
        <w:tc>
          <w:tcPr>
            <w:tcW w:w="7387" w:type="dxa"/>
            <w:tcBorders>
              <w:top w:val="thinThickSmallGap" w:color="auto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引进人才类别</w:t>
            </w:r>
          </w:p>
        </w:tc>
        <w:tc>
          <w:tcPr>
            <w:tcW w:w="5229" w:type="dxa"/>
            <w:tcBorders>
              <w:top w:val="thinThickSmallGap" w:color="auto" w:sz="2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引进待遇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国家级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高层次</w:t>
            </w:r>
          </w:p>
        </w:tc>
        <w:tc>
          <w:tcPr>
            <w:tcW w:w="7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“两院”院士、国家“千人计划”A类人选、国家“万人计划”杰出人才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学校提供优惠的引进待遇和薪酬待遇，具体一人一议、合同约定。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30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“长江学者”特聘教授/讲座教授、国家杰出青年基金获得者、国家“万人计划”领军人才、国家“千人计划”人选、国家“百千万人才工程”人选、973首席科学家、以及学校认定的同层次人才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left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全职引进：</w:t>
            </w:r>
            <w:r>
              <w:rPr>
                <w:kern w:val="0"/>
                <w:szCs w:val="21"/>
              </w:rPr>
              <w:t>年薪制（80万以上）；提供</w:t>
            </w:r>
            <w:r>
              <w:rPr>
                <w:rFonts w:hint="eastAsia"/>
                <w:kern w:val="0"/>
                <w:szCs w:val="21"/>
              </w:rPr>
              <w:t>安家费3</w:t>
            </w:r>
            <w:r>
              <w:rPr>
                <w:kern w:val="0"/>
                <w:szCs w:val="21"/>
              </w:rPr>
              <w:t>00</w:t>
            </w:r>
            <w:r>
              <w:rPr>
                <w:rFonts w:hint="eastAsia"/>
                <w:kern w:val="0"/>
                <w:szCs w:val="21"/>
              </w:rPr>
              <w:t>万以上</w:t>
            </w:r>
            <w:r>
              <w:rPr>
                <w:kern w:val="0"/>
                <w:szCs w:val="21"/>
              </w:rPr>
              <w:t>；提供充足的科研条件（具体面议）；安排配偶工作。</w:t>
            </w:r>
            <w:r>
              <w:rPr>
                <w:rFonts w:hint="eastAsia"/>
                <w:kern w:val="0"/>
                <w:szCs w:val="21"/>
              </w:rPr>
              <w:t>团队成员达到引进条件的，按相应层次人才享受引进待遇，未达到引进条件的实施年薪制（具体面议）。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柔性引进：</w:t>
            </w:r>
            <w:r>
              <w:rPr>
                <w:kern w:val="0"/>
                <w:szCs w:val="21"/>
              </w:rPr>
              <w:t>待遇面议，一人一议、合同约定。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30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国家“青年千人计划”人选、国家“万人计划青年拔尖人才”、国家优秀青年基金获得者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color w:val="000000"/>
                <w:kern w:val="0"/>
                <w:szCs w:val="21"/>
              </w:rPr>
              <w:t>中国科学院“百人计划”人选</w:t>
            </w:r>
            <w:r>
              <w:rPr>
                <w:rFonts w:hint="eastAsia"/>
                <w:color w:val="000000"/>
                <w:kern w:val="0"/>
                <w:szCs w:val="21"/>
              </w:rPr>
              <w:t>、教育部新世纪优秀人才和</w:t>
            </w:r>
            <w:r>
              <w:rPr>
                <w:color w:val="000000"/>
                <w:kern w:val="0"/>
                <w:szCs w:val="21"/>
              </w:rPr>
              <w:t>国家重大项目负责人以及学校认定的同层次人才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left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全职引进：</w:t>
            </w:r>
            <w:r>
              <w:rPr>
                <w:kern w:val="0"/>
                <w:szCs w:val="21"/>
              </w:rPr>
              <w:t>年薪制（50万以上）</w:t>
            </w:r>
            <w:r>
              <w:rPr>
                <w:rFonts w:hint="eastAsia"/>
                <w:kern w:val="0"/>
                <w:szCs w:val="21"/>
              </w:rPr>
              <w:t>；安家费150万以上；提供充足的科研条件（具体面议）；安排配偶工作。团队成员达到引进条件的，按相应层次人才享受引进待遇，未达到引进条件的实施年薪制（具体面议）。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柔性引进：</w:t>
            </w:r>
            <w:r>
              <w:rPr>
                <w:kern w:val="0"/>
                <w:szCs w:val="21"/>
              </w:rPr>
              <w:t>待遇面议，一人一议、合同约定。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nil"/>
              <w:bottom w:val="thinThickSmallGap" w:color="auto" w:sz="2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省级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高层次</w:t>
            </w:r>
          </w:p>
        </w:tc>
        <w:tc>
          <w:tcPr>
            <w:tcW w:w="7387" w:type="dxa"/>
            <w:tcBorders>
              <w:top w:val="single" w:color="000000" w:sz="4" w:space="0"/>
              <w:left w:val="single" w:color="000000" w:sz="4" w:space="0"/>
              <w:bottom w:val="thinThickSmallGap" w:color="auto" w:sz="2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“芙蓉学者”、海外高层次人才“百人计划”、省级杰出青年基金获得者、湖湘青年科技创新人才、省级重点学科带头人与学术骨干、省级人才工程高层次人选以及学校认定的同层次人才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thinThickSmallGap" w:color="auto" w:sz="24" w:space="0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00" w:lineRule="exact"/>
              <w:ind w:left="-33" w:firstLine="33"/>
              <w:jc w:val="left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全职引进：</w:t>
            </w:r>
            <w:r>
              <w:rPr>
                <w:rFonts w:hint="eastAsia"/>
                <w:kern w:val="0"/>
                <w:szCs w:val="21"/>
              </w:rPr>
              <w:t>年薪制（30万以上）；安家费100万以上；</w:t>
            </w:r>
            <w:r>
              <w:rPr>
                <w:kern w:val="0"/>
                <w:szCs w:val="21"/>
              </w:rPr>
              <w:t>提供50-100万元的科研启动费；安排配偶工作；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42" w:hanging="42"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柔性引进：</w:t>
            </w:r>
            <w:r>
              <w:rPr>
                <w:kern w:val="0"/>
                <w:szCs w:val="21"/>
              </w:rPr>
              <w:t>具体待遇面议，一人一议、合同约定。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tbl>
      <w:tblPr>
        <w:tblStyle w:val="5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640"/>
        <w:gridCol w:w="6804"/>
        <w:gridCol w:w="5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05" w:type="dxa"/>
            <w:tcBorders>
              <w:top w:val="thinThickSmallGap" w:color="auto" w:sz="2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人才层次</w:t>
            </w:r>
          </w:p>
        </w:tc>
        <w:tc>
          <w:tcPr>
            <w:tcW w:w="640" w:type="dxa"/>
            <w:tcBorders>
              <w:top w:val="thinThickSmallGap" w:color="auto" w:sz="2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804" w:type="dxa"/>
            <w:tcBorders>
              <w:top w:val="thinThickSmallGap" w:color="auto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5285" w:type="dxa"/>
            <w:tcBorders>
              <w:top w:val="thinThickSmallGap" w:color="auto" w:sz="2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引进待遇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优秀</w:t>
            </w:r>
          </w:p>
          <w:p>
            <w:pPr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中青年博士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Ⅰ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具有博士学历学位的教授，45周岁以下且近5年有相关学科专业科研成果</w:t>
            </w:r>
            <w:r>
              <w:rPr>
                <w:rFonts w:hint="eastAsia"/>
                <w:kern w:val="0"/>
                <w:szCs w:val="21"/>
              </w:rPr>
              <w:t>或奖励</w:t>
            </w:r>
            <w:r>
              <w:rPr>
                <w:kern w:val="0"/>
                <w:szCs w:val="21"/>
              </w:rPr>
              <w:t>；对于成果突出且学科专业建设急需的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年龄可适当放宽。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提供安家费</w:t>
            </w:r>
            <w:r>
              <w:rPr>
                <w:rFonts w:hint="eastAsia"/>
                <w:b/>
                <w:kern w:val="0"/>
                <w:szCs w:val="21"/>
              </w:rPr>
              <w:t>4</w:t>
            </w:r>
            <w:r>
              <w:rPr>
                <w:b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万元；</w:t>
            </w:r>
          </w:p>
          <w:p>
            <w:pPr>
              <w:widowControl/>
              <w:numPr>
                <w:ilvl w:val="0"/>
                <w:numId w:val="5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博士点</w:t>
            </w:r>
            <w:r>
              <w:rPr>
                <w:rFonts w:hint="eastAsia"/>
                <w:kern w:val="0"/>
                <w:szCs w:val="21"/>
              </w:rPr>
              <w:t>或重点</w:t>
            </w:r>
            <w:r>
              <w:rPr>
                <w:kern w:val="0"/>
                <w:szCs w:val="21"/>
              </w:rPr>
              <w:t>建设学科</w:t>
            </w:r>
            <w:r>
              <w:rPr>
                <w:rFonts w:hint="eastAsia"/>
                <w:kern w:val="0"/>
                <w:szCs w:val="21"/>
              </w:rPr>
              <w:t>、紧缺专业</w:t>
            </w:r>
            <w:r>
              <w:rPr>
                <w:kern w:val="0"/>
                <w:szCs w:val="21"/>
              </w:rPr>
              <w:t>增加</w:t>
            </w:r>
            <w:r>
              <w:rPr>
                <w:rFonts w:hint="eastAsia"/>
                <w:kern w:val="0"/>
                <w:szCs w:val="21"/>
              </w:rPr>
              <w:t>8-</w:t>
            </w:r>
            <w:r>
              <w:rPr>
                <w:kern w:val="0"/>
                <w:szCs w:val="21"/>
              </w:rPr>
              <w:t>10万；</w:t>
            </w:r>
          </w:p>
          <w:p>
            <w:pPr>
              <w:widowControl/>
              <w:numPr>
                <w:ilvl w:val="0"/>
                <w:numId w:val="5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获海外博士学历学位并经教育部认证的增加5万；</w:t>
            </w:r>
          </w:p>
          <w:p>
            <w:pPr>
              <w:widowControl/>
              <w:numPr>
                <w:ilvl w:val="0"/>
                <w:numId w:val="5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提供科研启动费：人文社科类9万元，自然科学类11万元。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30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Ⅱ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具有博士学历学位的副教授或博士后</w:t>
            </w:r>
            <w:r>
              <w:rPr>
                <w:rFonts w:hint="eastAsia"/>
                <w:kern w:val="0"/>
                <w:szCs w:val="21"/>
              </w:rPr>
              <w:t>出站人员</w:t>
            </w:r>
            <w:r>
              <w:rPr>
                <w:kern w:val="0"/>
                <w:szCs w:val="21"/>
              </w:rPr>
              <w:t>，40周岁以下且近5年有相关学科专业科研成果</w:t>
            </w:r>
            <w:r>
              <w:rPr>
                <w:rFonts w:hint="eastAsia"/>
                <w:kern w:val="0"/>
                <w:szCs w:val="21"/>
              </w:rPr>
              <w:t>或奖励</w:t>
            </w:r>
            <w:r>
              <w:rPr>
                <w:kern w:val="0"/>
                <w:szCs w:val="21"/>
              </w:rPr>
              <w:t>；对于成果突出且学科专业建设急需的年龄可适当放宽。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提供安家费</w:t>
            </w:r>
            <w:r>
              <w:rPr>
                <w:b/>
                <w:kern w:val="0"/>
                <w:szCs w:val="21"/>
              </w:rPr>
              <w:t>40</w:t>
            </w:r>
            <w:r>
              <w:rPr>
                <w:kern w:val="0"/>
                <w:szCs w:val="21"/>
              </w:rPr>
              <w:t>万元；</w:t>
            </w:r>
          </w:p>
          <w:p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博士点</w:t>
            </w:r>
            <w:r>
              <w:rPr>
                <w:rFonts w:hint="eastAsia"/>
                <w:kern w:val="0"/>
                <w:szCs w:val="21"/>
              </w:rPr>
              <w:t>或重点</w:t>
            </w:r>
            <w:r>
              <w:rPr>
                <w:kern w:val="0"/>
                <w:szCs w:val="21"/>
              </w:rPr>
              <w:t>建设学科</w:t>
            </w:r>
            <w:r>
              <w:rPr>
                <w:rFonts w:hint="eastAsia"/>
                <w:kern w:val="0"/>
                <w:szCs w:val="21"/>
              </w:rPr>
              <w:t>、紧缺专业</w:t>
            </w:r>
            <w:r>
              <w:rPr>
                <w:kern w:val="0"/>
                <w:szCs w:val="21"/>
              </w:rPr>
              <w:t>增加</w:t>
            </w:r>
            <w:r>
              <w:rPr>
                <w:rFonts w:hint="eastAsia"/>
                <w:kern w:val="0"/>
                <w:szCs w:val="21"/>
              </w:rPr>
              <w:t>8-</w:t>
            </w:r>
            <w:r>
              <w:rPr>
                <w:kern w:val="0"/>
                <w:szCs w:val="21"/>
              </w:rPr>
              <w:t>10万；</w:t>
            </w:r>
          </w:p>
          <w:p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获海外博士学历学位并经教育部认证的增加5万；</w:t>
            </w:r>
          </w:p>
          <w:p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提供科研启动费：人文社科类7万元，自然科学类9万元。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30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Ⅲ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境内外优秀博士，35周岁以下。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提供安家费</w:t>
            </w:r>
            <w:r>
              <w:rPr>
                <w:b/>
                <w:kern w:val="0"/>
                <w:szCs w:val="21"/>
              </w:rPr>
              <w:t>35</w:t>
            </w:r>
            <w:r>
              <w:rPr>
                <w:kern w:val="0"/>
                <w:szCs w:val="21"/>
              </w:rPr>
              <w:t>万元</w:t>
            </w:r>
          </w:p>
          <w:p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博士点</w:t>
            </w:r>
            <w:r>
              <w:rPr>
                <w:rFonts w:hint="eastAsia"/>
                <w:kern w:val="0"/>
                <w:szCs w:val="21"/>
              </w:rPr>
              <w:t>或重点</w:t>
            </w:r>
            <w:r>
              <w:rPr>
                <w:kern w:val="0"/>
                <w:szCs w:val="21"/>
              </w:rPr>
              <w:t>建设学科</w:t>
            </w:r>
            <w:r>
              <w:rPr>
                <w:rFonts w:hint="eastAsia"/>
                <w:kern w:val="0"/>
                <w:szCs w:val="21"/>
              </w:rPr>
              <w:t>、紧缺专业</w:t>
            </w:r>
            <w:r>
              <w:rPr>
                <w:kern w:val="0"/>
                <w:szCs w:val="21"/>
              </w:rPr>
              <w:t>增加8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10万；</w:t>
            </w:r>
          </w:p>
          <w:p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获海外博士学历学位并经教育部认证的增加5万；</w:t>
            </w:r>
          </w:p>
          <w:p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提供科研启动费：人文社科类5万元，自然科学类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305" w:type="dxa"/>
            <w:vMerge w:val="continue"/>
            <w:tcBorders>
              <w:left w:val="nil"/>
              <w:bottom w:val="thinThickSmallGap" w:color="auto" w:sz="2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2729" w:type="dxa"/>
            <w:gridSpan w:val="3"/>
            <w:tcBorders>
              <w:top w:val="single" w:color="000000" w:sz="4" w:space="0"/>
              <w:left w:val="single" w:color="000000" w:sz="4" w:space="0"/>
              <w:bottom w:val="thinThickSmallGap" w:color="auto" w:sz="24" w:space="0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本层次人员原则上为编制内聘用；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夫妻为双博士的，夫妻分别享受引进待遇后，安家费另增加10万；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3、享受副教授基本档岗位津贴（3年），已具有副教授任职资格者享受教授基本档岗位津贴（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年）；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4、提供周转住房或租房补贴</w:t>
            </w:r>
            <w:r>
              <w:rPr>
                <w:rFonts w:hint="eastAsia"/>
                <w:kern w:val="0"/>
                <w:szCs w:val="21"/>
              </w:rPr>
              <w:t>（两室一厅）</w:t>
            </w:r>
            <w:r>
              <w:rPr>
                <w:kern w:val="0"/>
                <w:szCs w:val="21"/>
              </w:rPr>
              <w:t>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5、发放</w:t>
            </w:r>
            <w:r>
              <w:rPr>
                <w:rFonts w:hint="eastAsia"/>
                <w:kern w:val="0"/>
                <w:szCs w:val="21"/>
              </w:rPr>
              <w:t>骨干人员奖励绩效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  <w:r>
              <w:rPr>
                <w:kern w:val="0"/>
                <w:szCs w:val="21"/>
              </w:rPr>
              <w:t>00元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-1000元</w:t>
            </w:r>
            <w:r>
              <w:rPr>
                <w:kern w:val="0"/>
                <w:szCs w:val="21"/>
              </w:rPr>
              <w:t>/月（聘期结束一次性发放）；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6、急需引进的人才，配偶是全日制硕士研究生毕业的</w:t>
            </w:r>
            <w:r>
              <w:rPr>
                <w:rFonts w:hint="eastAsia"/>
                <w:kern w:val="0"/>
                <w:szCs w:val="21"/>
              </w:rPr>
              <w:t>，如有需要</w:t>
            </w:r>
            <w:r>
              <w:rPr>
                <w:kern w:val="0"/>
                <w:szCs w:val="21"/>
              </w:rPr>
              <w:t>可以人事代理方</w:t>
            </w:r>
            <w:bookmarkStart w:id="0" w:name="_GoBack"/>
            <w:bookmarkEnd w:id="0"/>
            <w:r>
              <w:rPr>
                <w:kern w:val="0"/>
                <w:szCs w:val="21"/>
              </w:rPr>
              <w:t>式安排工作</w:t>
            </w:r>
            <w:r>
              <w:rPr>
                <w:rFonts w:hint="eastAsia"/>
                <w:kern w:val="0"/>
                <w:szCs w:val="21"/>
              </w:rPr>
              <w:t>（仅限1人次）；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、对于成果特别突出的优秀中青年博士、博士立项建设学科团队引进、国家五大科学技术奖获得者等，通过一事一议的方式研究解决。</w:t>
            </w:r>
          </w:p>
        </w:tc>
      </w:tr>
    </w:tbl>
    <w:p/>
    <w:sectPr>
      <w:pgSz w:w="16838" w:h="11906" w:orient="landscape"/>
      <w:pgMar w:top="1474" w:right="1588" w:bottom="1701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2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3">
    <w:nsid w:val="0000000A"/>
    <w:multiLevelType w:val="multilevel"/>
    <w:tmpl w:val="0000000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4">
    <w:nsid w:val="0000000B"/>
    <w:multiLevelType w:val="multilevel"/>
    <w:tmpl w:val="0000000B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5">
    <w:nsid w:val="00000010"/>
    <w:multiLevelType w:val="multilevel"/>
    <w:tmpl w:val="0000001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6">
    <w:nsid w:val="00000017"/>
    <w:multiLevelType w:val="multilevel"/>
    <w:tmpl w:val="000000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7">
    <w:nsid w:val="5BBCA413"/>
    <w:multiLevelType w:val="singleLevel"/>
    <w:tmpl w:val="5BBCA4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A78"/>
    <w:rsid w:val="00254CFB"/>
    <w:rsid w:val="004B2E87"/>
    <w:rsid w:val="004C5297"/>
    <w:rsid w:val="005D2771"/>
    <w:rsid w:val="00A606DF"/>
    <w:rsid w:val="00CD6832"/>
    <w:rsid w:val="00D06A78"/>
    <w:rsid w:val="00DB30C7"/>
    <w:rsid w:val="26D64BA5"/>
    <w:rsid w:val="43D222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207</Words>
  <Characters>1184</Characters>
  <Lines>9</Lines>
  <Paragraphs>2</Paragraphs>
  <TotalTime>47</TotalTime>
  <ScaleCrop>false</ScaleCrop>
  <LinksUpToDate>false</LinksUpToDate>
  <CharactersWithSpaces>1389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2018-07-13T09:35:00Z</dcterms:created>
  <dc:creator>PC</dc:creator>
  <cp:lastModifiedBy>立</cp:lastModifiedBy>
  <cp:lastPrinted>2021-03-03T07:14:30Z</cp:lastPrinted>
  <dcterms:modified xsi:type="dcterms:W3CDTF">2021-03-03T07:59:52Z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451298971_cloud</vt:lpwstr>
  </property>
</Properties>
</file>